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200"/>
        <w:spacing w:after="0"/>
        <w:rPr>
          <w:sz w:val="20"/>
          <w:szCs w:val="20"/>
          <w:color w:val="auto"/>
        </w:rPr>
      </w:pPr>
      <w:r>
        <w:rPr>
          <w:rFonts w:ascii="Arial" w:cs="Arial" w:eastAsia="Arial" w:hAnsi="Arial"/>
          <w:sz w:val="22"/>
          <w:szCs w:val="22"/>
          <w:b w:val="1"/>
          <w:bCs w:val="1"/>
          <w:color w:val="auto"/>
        </w:rPr>
        <w:drawing>
          <wp:anchor simplePos="0" relativeHeight="251657728" behindDoc="1" locked="0" layoutInCell="0" allowOverlap="1">
            <wp:simplePos x="0" y="0"/>
            <wp:positionH relativeFrom="page">
              <wp:posOffset>157480</wp:posOffset>
            </wp:positionH>
            <wp:positionV relativeFrom="page">
              <wp:posOffset>226060</wp:posOffset>
            </wp:positionV>
            <wp:extent cx="7246620" cy="26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46620" cy="26035"/>
                    </a:xfrm>
                    <a:prstGeom prst="rect">
                      <a:avLst/>
                    </a:prstGeom>
                    <a:noFill/>
                  </pic:spPr>
                </pic:pic>
              </a:graphicData>
            </a:graphic>
          </wp:anchor>
        </w:drawing>
        <w:drawing>
          <wp:anchor simplePos="0" relativeHeight="251657728" behindDoc="1" locked="0" layoutInCell="0" allowOverlap="1">
            <wp:simplePos x="0" y="0"/>
            <wp:positionH relativeFrom="page">
              <wp:posOffset>157480</wp:posOffset>
            </wp:positionH>
            <wp:positionV relativeFrom="page">
              <wp:posOffset>260350</wp:posOffset>
            </wp:positionV>
            <wp:extent cx="724662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46620" cy="8890"/>
                    </a:xfrm>
                    <a:prstGeom prst="rect">
                      <a:avLst/>
                    </a:prstGeom>
                    <a:noFill/>
                  </pic:spPr>
                </pic:pic>
              </a:graphicData>
            </a:graphic>
          </wp:anchor>
        </w:drawing>
        <w:t>UNITED STATES</w:t>
      </w:r>
    </w:p>
    <w:p>
      <w:pPr>
        <w:spacing w:after="0" w:line="4" w:lineRule="exact"/>
        <w:rPr>
          <w:sz w:val="24"/>
          <w:szCs w:val="24"/>
          <w:color w:val="auto"/>
        </w:rPr>
      </w:pPr>
    </w:p>
    <w:p>
      <w:pPr>
        <w:jc w:val="center"/>
        <w:ind w:right="-1200"/>
        <w:spacing w:after="0"/>
        <w:rPr>
          <w:sz w:val="20"/>
          <w:szCs w:val="20"/>
          <w:color w:val="auto"/>
        </w:rPr>
      </w:pPr>
      <w:r>
        <w:rPr>
          <w:rFonts w:ascii="Arial" w:cs="Arial" w:eastAsia="Arial" w:hAnsi="Arial"/>
          <w:sz w:val="22"/>
          <w:szCs w:val="22"/>
          <w:b w:val="1"/>
          <w:bCs w:val="1"/>
          <w:color w:val="auto"/>
        </w:rPr>
        <w:t>SECURITIES AND EXCHANGE COMMISSION</w:t>
      </w:r>
    </w:p>
    <w:p>
      <w:pPr>
        <w:jc w:val="center"/>
        <w:ind w:right="-1200"/>
        <w:spacing w:after="0"/>
        <w:rPr>
          <w:sz w:val="20"/>
          <w:szCs w:val="20"/>
          <w:color w:val="auto"/>
        </w:rPr>
      </w:pPr>
      <w:r>
        <w:rPr>
          <w:rFonts w:ascii="Arial" w:cs="Arial" w:eastAsia="Arial" w:hAnsi="Arial"/>
          <w:sz w:val="22"/>
          <w:szCs w:val="22"/>
          <w:b w:val="1"/>
          <w:bCs w:val="1"/>
          <w:color w:val="auto"/>
        </w:rPr>
        <w:t>Washington, D.C. 20549</w:t>
      </w:r>
    </w:p>
    <w:p>
      <w:pPr>
        <w:spacing w:after="0" w:line="182" w:lineRule="exact"/>
        <w:rPr>
          <w:sz w:val="24"/>
          <w:szCs w:val="24"/>
          <w:color w:val="auto"/>
        </w:rPr>
      </w:pPr>
    </w:p>
    <w:p>
      <w:pPr>
        <w:jc w:val="center"/>
        <w:ind w:right="-1200"/>
        <w:spacing w:after="0"/>
        <w:rPr>
          <w:sz w:val="20"/>
          <w:szCs w:val="20"/>
          <w:color w:val="auto"/>
        </w:rPr>
      </w:pPr>
      <w:r>
        <w:rPr>
          <w:rFonts w:ascii="Arial" w:cs="Arial" w:eastAsia="Arial" w:hAnsi="Arial"/>
          <w:sz w:val="22"/>
          <w:szCs w:val="22"/>
          <w:b w:val="1"/>
          <w:bCs w:val="1"/>
          <w:color w:val="auto"/>
        </w:rPr>
        <w:t>FORM 6-K</w:t>
      </w:r>
    </w:p>
    <w:p>
      <w:pPr>
        <w:spacing w:after="0" w:line="21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SECURITIES EXCHANGE ACT OF 1934</w:t>
      </w:r>
    </w:p>
    <w:p>
      <w:pPr>
        <w:spacing w:after="0" w:line="211"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Short Form of Press Release</w:t>
      </w:r>
    </w:p>
    <w:p>
      <w:pPr>
        <w:spacing w:after="0" w:line="225"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Commission File Number 1-11414</w:t>
      </w:r>
    </w:p>
    <w:p>
      <w:pPr>
        <w:spacing w:after="0" w:line="217" w:lineRule="exact"/>
        <w:rPr>
          <w:sz w:val="24"/>
          <w:szCs w:val="24"/>
          <w:color w:val="auto"/>
        </w:rPr>
      </w:pPr>
    </w:p>
    <w:p>
      <w:pPr>
        <w:jc w:val="center"/>
        <w:ind w:right="-1200"/>
        <w:spacing w:after="0"/>
        <w:rPr>
          <w:sz w:val="20"/>
          <w:szCs w:val="20"/>
          <w:color w:val="auto"/>
        </w:rPr>
      </w:pPr>
      <w:r>
        <w:rPr>
          <w:rFonts w:ascii="Arial" w:cs="Arial" w:eastAsia="Arial" w:hAnsi="Arial"/>
          <w:sz w:val="25"/>
          <w:szCs w:val="25"/>
          <w:b w:val="1"/>
          <w:bCs w:val="1"/>
          <w:color w:val="auto"/>
        </w:rPr>
        <w:t>BANCO LATINOAMERICANO DE COMERCIO EXTERIOR, S.A.</w:t>
      </w:r>
    </w:p>
    <w:p>
      <w:pPr>
        <w:spacing w:after="0" w:line="34"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(Exact name of Registrant as specified in its Charter)</w:t>
      </w:r>
    </w:p>
    <w:p>
      <w:pPr>
        <w:spacing w:after="0" w:line="201" w:lineRule="exact"/>
        <w:rPr>
          <w:sz w:val="24"/>
          <w:szCs w:val="24"/>
          <w:color w:val="auto"/>
        </w:rPr>
      </w:pPr>
    </w:p>
    <w:p>
      <w:pPr>
        <w:jc w:val="center"/>
        <w:ind w:right="-1200"/>
        <w:spacing w:after="0"/>
        <w:rPr>
          <w:sz w:val="20"/>
          <w:szCs w:val="20"/>
          <w:color w:val="auto"/>
        </w:rPr>
      </w:pPr>
      <w:r>
        <w:rPr>
          <w:rFonts w:ascii="Arial" w:cs="Arial" w:eastAsia="Arial" w:hAnsi="Arial"/>
          <w:sz w:val="25"/>
          <w:szCs w:val="25"/>
          <w:b w:val="1"/>
          <w:bCs w:val="1"/>
          <w:color w:val="auto"/>
        </w:rPr>
        <w:t>FOREIGN TRADE BANK OF LATIN AMERICA, INC.</w:t>
      </w:r>
    </w:p>
    <w:p>
      <w:pPr>
        <w:spacing w:after="0" w:line="34"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(Translation of Registrant’s name into English)</w:t>
      </w:r>
    </w:p>
    <w:p>
      <w:pPr>
        <w:spacing w:after="0" w:line="20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(Address of Registrant’s Principal Executive Offices)</w:t>
      </w:r>
    </w:p>
    <w:p>
      <w:pPr>
        <w:spacing w:after="0" w:line="211"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of Form 20-F or Form 40-F.</w:t>
      </w:r>
    </w:p>
    <w:p>
      <w:pPr>
        <w:spacing w:after="0" w:line="193" w:lineRule="exact"/>
        <w:rPr>
          <w:sz w:val="24"/>
          <w:szCs w:val="24"/>
          <w:color w:val="auto"/>
        </w:rPr>
      </w:pPr>
    </w:p>
    <w:p>
      <w:pPr>
        <w:ind w:left="4620"/>
        <w:spacing w:after="0" w:line="207" w:lineRule="exact"/>
        <w:tabs>
          <w:tab w:leader="none" w:pos="5800" w:val="left"/>
        </w:tabs>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sz w:val="20"/>
          <w:szCs w:val="20"/>
          <w:color w:val="auto"/>
        </w:rPr>
        <w:tab/>
      </w:r>
      <w:r>
        <w:rPr>
          <w:rFonts w:ascii="Arial" w:cs="Arial" w:eastAsia="Arial" w:hAnsi="Arial"/>
          <w:sz w:val="16"/>
          <w:szCs w:val="16"/>
          <w:color w:val="auto"/>
        </w:rPr>
        <w:t xml:space="preserve">Form 40-F </w:t>
      </w:r>
      <w:r>
        <w:rPr>
          <w:rFonts w:ascii="MS PGothic" w:cs="MS PGothic" w:eastAsia="MS PGothic" w:hAnsi="MS PGothic"/>
          <w:sz w:val="16"/>
          <w:szCs w:val="16"/>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101(b)(1):</w:t>
      </w:r>
    </w:p>
    <w:p>
      <w:pPr>
        <w:spacing w:after="0" w:line="204" w:lineRule="exact"/>
        <w:rPr>
          <w:sz w:val="24"/>
          <w:szCs w:val="24"/>
          <w:color w:val="auto"/>
        </w:rPr>
      </w:pPr>
    </w:p>
    <w:p>
      <w:pPr>
        <w:ind w:left="524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101(b)(7):</w:t>
      </w:r>
    </w:p>
    <w:p>
      <w:pPr>
        <w:spacing w:after="0" w:line="204" w:lineRule="exact"/>
        <w:rPr>
          <w:sz w:val="24"/>
          <w:szCs w:val="24"/>
          <w:color w:val="auto"/>
        </w:rPr>
      </w:pPr>
    </w:p>
    <w:p>
      <w:pPr>
        <w:ind w:left="524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207010</wp:posOffset>
            </wp:positionV>
            <wp:extent cx="72466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224155</wp:posOffset>
            </wp:positionV>
            <wp:extent cx="7246620" cy="260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246620" cy="2603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541655</wp:posOffset>
            </wp:positionV>
            <wp:extent cx="724662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0219"/>
          </w:cols>
          <w:pgMar w:left="240" w:top="666"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Date: July 19, 2019</w:t>
      </w:r>
    </w:p>
    <w:p>
      <w:pPr>
        <w:spacing w:after="0" w:line="225"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FOREIGN TRADE BANK OF LATIN AMERICA, INC.</w:t>
      </w:r>
    </w:p>
    <w:p>
      <w:pPr>
        <w:spacing w:after="0" w:line="23" w:lineRule="exact"/>
        <w:rPr>
          <w:sz w:val="20"/>
          <w:szCs w:val="20"/>
          <w:color w:val="auto"/>
        </w:rPr>
      </w:pPr>
    </w:p>
    <w:p>
      <w:pPr>
        <w:ind w:left="5720"/>
        <w:spacing w:after="0"/>
        <w:rPr>
          <w:sz w:val="20"/>
          <w:szCs w:val="20"/>
          <w:color w:val="auto"/>
        </w:rPr>
      </w:pPr>
      <w:r>
        <w:rPr>
          <w:rFonts w:ascii="Arial" w:cs="Arial" w:eastAsia="Arial" w:hAnsi="Arial"/>
          <w:sz w:val="18"/>
          <w:szCs w:val="18"/>
          <w:i w:val="1"/>
          <w:iCs w:val="1"/>
          <w:color w:val="auto"/>
        </w:rPr>
        <w:t>(Registrant)</w:t>
      </w:r>
    </w:p>
    <w:p>
      <w:pPr>
        <w:spacing w:after="0" w:line="211"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6520" w:type="dxa"/>
            <w:vAlign w:val="bottom"/>
          </w:tcPr>
          <w:p>
            <w:pPr>
              <w:ind w:left="5720"/>
              <w:spacing w:after="0"/>
              <w:rPr>
                <w:sz w:val="20"/>
                <w:szCs w:val="20"/>
                <w:color w:val="auto"/>
              </w:rPr>
            </w:pPr>
            <w:r>
              <w:rPr>
                <w:rFonts w:ascii="Arial" w:cs="Arial" w:eastAsia="Arial" w:hAnsi="Arial"/>
                <w:sz w:val="18"/>
                <w:szCs w:val="18"/>
                <w:color w:val="auto"/>
              </w:rPr>
              <w:t>By:</w:t>
            </w:r>
          </w:p>
        </w:tc>
        <w:tc>
          <w:tcPr>
            <w:tcW w:w="4900" w:type="dxa"/>
            <w:vAlign w:val="bottom"/>
            <w:tcBorders>
              <w:bottom w:val="single" w:sz="8" w:color="auto"/>
            </w:tcBorders>
          </w:tcPr>
          <w:p>
            <w:pPr>
              <w:spacing w:after="0"/>
              <w:rPr>
                <w:sz w:val="20"/>
                <w:szCs w:val="20"/>
                <w:color w:val="auto"/>
              </w:rPr>
            </w:pPr>
            <w:r>
              <w:rPr>
                <w:rFonts w:ascii="Arial" w:cs="Arial" w:eastAsia="Arial" w:hAnsi="Arial"/>
                <w:sz w:val="18"/>
                <w:szCs w:val="18"/>
                <w:color w:val="auto"/>
              </w:rPr>
              <w:t>/s/ Ana Graciela de Méndez</w:t>
            </w:r>
          </w:p>
        </w:tc>
      </w:tr>
      <w:tr>
        <w:trPr>
          <w:trHeight w:val="411"/>
        </w:trPr>
        <w:tc>
          <w:tcPr>
            <w:tcW w:w="6520" w:type="dxa"/>
            <w:vAlign w:val="bottom"/>
          </w:tcPr>
          <w:p>
            <w:pPr>
              <w:ind w:left="5720"/>
              <w:spacing w:after="0"/>
              <w:rPr>
                <w:sz w:val="20"/>
                <w:szCs w:val="20"/>
                <w:color w:val="auto"/>
              </w:rPr>
            </w:pPr>
            <w:r>
              <w:rPr>
                <w:rFonts w:ascii="Arial" w:cs="Arial" w:eastAsia="Arial" w:hAnsi="Arial"/>
                <w:sz w:val="18"/>
                <w:szCs w:val="18"/>
                <w:color w:val="auto"/>
              </w:rPr>
              <w:t>Name:</w:t>
            </w:r>
          </w:p>
        </w:tc>
        <w:tc>
          <w:tcPr>
            <w:tcW w:w="4900" w:type="dxa"/>
            <w:vAlign w:val="bottom"/>
          </w:tcPr>
          <w:p>
            <w:pPr>
              <w:spacing w:after="0"/>
              <w:rPr>
                <w:sz w:val="20"/>
                <w:szCs w:val="20"/>
                <w:color w:val="auto"/>
              </w:rPr>
            </w:pPr>
            <w:r>
              <w:rPr>
                <w:rFonts w:ascii="Arial" w:cs="Arial" w:eastAsia="Arial" w:hAnsi="Arial"/>
                <w:sz w:val="18"/>
                <w:szCs w:val="18"/>
                <w:color w:val="auto"/>
              </w:rPr>
              <w:t>Ana Graciela de Méndez</w:t>
            </w:r>
          </w:p>
        </w:tc>
      </w:tr>
      <w:tr>
        <w:trPr>
          <w:trHeight w:val="230"/>
        </w:trPr>
        <w:tc>
          <w:tcPr>
            <w:tcW w:w="6520" w:type="dxa"/>
            <w:vAlign w:val="bottom"/>
          </w:tcPr>
          <w:p>
            <w:pPr>
              <w:ind w:left="5720"/>
              <w:spacing w:after="0"/>
              <w:rPr>
                <w:sz w:val="20"/>
                <w:szCs w:val="20"/>
                <w:color w:val="auto"/>
              </w:rPr>
            </w:pPr>
            <w:r>
              <w:rPr>
                <w:rFonts w:ascii="Arial" w:cs="Arial" w:eastAsia="Arial" w:hAnsi="Arial"/>
                <w:sz w:val="18"/>
                <w:szCs w:val="18"/>
                <w:color w:val="auto"/>
              </w:rPr>
              <w:t>Title:</w:t>
            </w:r>
          </w:p>
        </w:tc>
        <w:tc>
          <w:tcPr>
            <w:tcW w:w="4900" w:type="dxa"/>
            <w:vAlign w:val="bottom"/>
          </w:tcPr>
          <w:p>
            <w:pPr>
              <w:spacing w:after="0"/>
              <w:rPr>
                <w:sz w:val="20"/>
                <w:szCs w:val="20"/>
                <w:color w:val="auto"/>
              </w:rPr>
            </w:pPr>
            <w:r>
              <w:rPr>
                <w:rFonts w:ascii="Arial" w:cs="Arial" w:eastAsia="Arial" w:hAnsi="Arial"/>
                <w:sz w:val="18"/>
                <w:szCs w:val="18"/>
                <w:color w:val="auto"/>
              </w:rPr>
              <w:t>CFO</w:t>
            </w:r>
          </w:p>
        </w:tc>
      </w:tr>
      <w:tr>
        <w:trPr>
          <w:trHeight w:val="675"/>
        </w:trPr>
        <w:tc>
          <w:tcPr>
            <w:tcW w:w="6520" w:type="dxa"/>
            <w:vAlign w:val="bottom"/>
            <w:tcBorders>
              <w:bottom w:val="single" w:sz="8" w:color="auto"/>
            </w:tcBorders>
          </w:tcPr>
          <w:p>
            <w:pPr>
              <w:spacing w:after="0"/>
              <w:rPr>
                <w:sz w:val="24"/>
                <w:szCs w:val="24"/>
                <w:color w:val="auto"/>
              </w:rPr>
            </w:pPr>
          </w:p>
        </w:tc>
        <w:tc>
          <w:tcPr>
            <w:tcW w:w="490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4" w:right="239" w:bottom="1440" w:gutter="0" w:footer="0" w:header="0"/>
        </w:sectPr>
      </w:pPr>
    </w:p>
    <w:bookmarkStart w:id="2" w:name="page3"/>
    <w:bookmarkEnd w:id="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791845</wp:posOffset>
            </wp:positionH>
            <wp:positionV relativeFrom="page">
              <wp:posOffset>466090</wp:posOffset>
            </wp:positionV>
            <wp:extent cx="5917565" cy="10636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clrChange>
                        <a:clrFrom>
                          <a:srgbClr val="FFFFFF"/>
                        </a:clrFrom>
                        <a:clrTo>
                          <a:srgbClr val="FFFFFF">
                            <a:alpha val="0"/>
                          </a:srgbClr>
                        </a:clrTo>
                      </a:clrChange>
                      <a:extLst>
                        <a:ext uri="{28A0092B-C50C-407E-A947-70E740481C1C}"/>
                      </a:extLst>
                    </a:blip>
                    <a:srcRect/>
                    <a:stretch>
                      <a:fillRect/>
                    </a:stretch>
                  </pic:blipFill>
                  <pic:spPr bwMode="auto">
                    <a:xfrm>
                      <a:off x="0" y="0"/>
                      <a:ext cx="5917565" cy="106362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9" w:lineRule="exact"/>
        <w:rPr>
          <w:sz w:val="20"/>
          <w:szCs w:val="20"/>
          <w:color w:val="auto"/>
        </w:rPr>
      </w:pPr>
    </w:p>
    <w:p>
      <w:pPr>
        <w:jc w:val="center"/>
        <w:ind w:left="260" w:right="1100"/>
        <w:spacing w:after="0" w:line="282" w:lineRule="auto"/>
        <w:rPr>
          <w:sz w:val="20"/>
          <w:szCs w:val="20"/>
          <w:color w:val="auto"/>
        </w:rPr>
      </w:pPr>
      <w:r>
        <w:rPr>
          <w:rFonts w:ascii="Arial" w:cs="Arial" w:eastAsia="Arial" w:hAnsi="Arial"/>
          <w:sz w:val="18"/>
          <w:szCs w:val="18"/>
          <w:b w:val="1"/>
          <w:bCs w:val="1"/>
          <w:color w:val="auto"/>
        </w:rPr>
        <w:t>BLADEX ANNOUNCES PROFIT FOR THE SECOND QUARTER 2019 OF $22.3 MILLION, OR $0.56 PER SHARE; HALF-YEAR 2019 PROFIT OF $43.5 MILLION, OR $1.10 PER SHARE</w:t>
      </w:r>
    </w:p>
    <w:p>
      <w:pPr>
        <w:spacing w:after="0" w:line="16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PANAMA CITY, REPUBLIC OF PANAMA, July 19, 2019</w:t>
      </w:r>
    </w:p>
    <w:p>
      <w:pPr>
        <w:spacing w:after="0" w:line="225" w:lineRule="exact"/>
        <w:rPr>
          <w:sz w:val="20"/>
          <w:szCs w:val="20"/>
          <w:color w:val="auto"/>
        </w:rPr>
      </w:pPr>
    </w:p>
    <w:p>
      <w:pPr>
        <w:jc w:val="both"/>
        <w:spacing w:after="0" w:line="266" w:lineRule="auto"/>
        <w:rPr>
          <w:sz w:val="20"/>
          <w:szCs w:val="20"/>
          <w:color w:val="auto"/>
        </w:rPr>
      </w:pPr>
      <w:r>
        <w:rPr>
          <w:rFonts w:ascii="Arial" w:cs="Arial" w:eastAsia="Arial" w:hAnsi="Arial"/>
          <w:sz w:val="18"/>
          <w:szCs w:val="18"/>
          <w:b w:val="1"/>
          <w:bCs w:val="1"/>
          <w:color w:val="auto"/>
        </w:rPr>
        <w:t xml:space="preserve">Banco Latinoamericano de Comercio Exterior, S.A. </w:t>
      </w:r>
      <w:r>
        <w:rPr>
          <w:rFonts w:ascii="Arial" w:cs="Arial" w:eastAsia="Arial" w:hAnsi="Arial"/>
          <w:sz w:val="18"/>
          <w:szCs w:val="18"/>
          <w:color w:val="auto"/>
        </w:rPr>
        <w:t>(NYSE: BLX, “Bladex”, or “the Bank”), a Panama-based multinational bank originally established by</w:t>
      </w:r>
      <w:r>
        <w:rPr>
          <w:rFonts w:ascii="Arial" w:cs="Arial" w:eastAsia="Arial" w:hAnsi="Arial"/>
          <w:sz w:val="18"/>
          <w:szCs w:val="18"/>
          <w:b w:val="1"/>
          <w:bCs w:val="1"/>
          <w:color w:val="auto"/>
        </w:rPr>
        <w:t xml:space="preserve"> </w:t>
      </w:r>
      <w:r>
        <w:rPr>
          <w:rFonts w:ascii="Arial" w:cs="Arial" w:eastAsia="Arial" w:hAnsi="Arial"/>
          <w:sz w:val="18"/>
          <w:szCs w:val="18"/>
          <w:color w:val="auto"/>
        </w:rPr>
        <w:t>the central banks of 23 Latin-American and Caribbean countries to promote foreign trade and economic integration in the region, today announced its results for the second quarter (“2Q19”) and six months (“6M19”) ended June 30, 2019.</w:t>
      </w:r>
    </w:p>
    <w:p>
      <w:pPr>
        <w:spacing w:after="0" w:line="18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consolidated financial information in this document has been prepared in accordance with International Financial Reporting Standards (“IFRS”) as issued by the International Accounting Standards Board (“IASB”).</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120" w:type="dxa"/>
            <w:vAlign w:val="bottom"/>
          </w:tcPr>
          <w:p>
            <w:pPr>
              <w:spacing w:after="0"/>
              <w:rPr>
                <w:sz w:val="20"/>
                <w:szCs w:val="20"/>
                <w:color w:val="auto"/>
              </w:rPr>
            </w:pPr>
            <w:r>
              <w:rPr>
                <w:rFonts w:ascii="Arial" w:cs="Arial" w:eastAsia="Arial" w:hAnsi="Arial"/>
                <w:sz w:val="18"/>
                <w:szCs w:val="18"/>
                <w:b w:val="1"/>
                <w:bCs w:val="1"/>
                <w:color w:val="auto"/>
              </w:rPr>
              <w:t>FINANCIAL SNAPSHOT</w:t>
            </w:r>
          </w:p>
        </w:tc>
        <w:tc>
          <w:tcPr>
            <w:tcW w:w="10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94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160" w:type="dxa"/>
            <w:vAlign w:val="bottom"/>
          </w:tcPr>
          <w:p>
            <w:pPr>
              <w:spacing w:after="0"/>
              <w:rPr>
                <w:sz w:val="20"/>
                <w:szCs w:val="20"/>
                <w:color w:val="auto"/>
              </w:rPr>
            </w:pPr>
          </w:p>
        </w:tc>
      </w:tr>
      <w:tr>
        <w:trPr>
          <w:trHeight w:val="446"/>
        </w:trPr>
        <w:tc>
          <w:tcPr>
            <w:tcW w:w="4120" w:type="dxa"/>
            <w:vAlign w:val="bottom"/>
          </w:tcPr>
          <w:p>
            <w:pPr>
              <w:spacing w:after="0"/>
              <w:rPr>
                <w:sz w:val="20"/>
                <w:szCs w:val="20"/>
                <w:color w:val="auto"/>
              </w:rPr>
            </w:pPr>
            <w:r>
              <w:rPr>
                <w:rFonts w:ascii="Arial" w:cs="Arial" w:eastAsia="Arial" w:hAnsi="Arial"/>
                <w:sz w:val="18"/>
                <w:szCs w:val="18"/>
                <w:u w:val="single" w:color="auto"/>
                <w:color w:val="auto"/>
                <w:w w:val="89"/>
              </w:rPr>
              <w:t>(US</w:t>
            </w:r>
            <w:r>
              <w:rPr>
                <w:rFonts w:ascii="Arial" w:cs="Arial" w:eastAsia="Arial" w:hAnsi="Arial"/>
                <w:sz w:val="18"/>
                <w:szCs w:val="18"/>
                <w:color w:val="auto"/>
                <w:w w:val="89"/>
              </w:rPr>
              <w:t>$ million, except percentages and per share amounts)</w:t>
            </w:r>
          </w:p>
        </w:tc>
        <w:tc>
          <w:tcPr>
            <w:tcW w:w="1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200" w:type="dxa"/>
            <w:vAlign w:val="bottom"/>
            <w:gridSpan w:val="2"/>
          </w:tcPr>
          <w:p>
            <w:pPr>
              <w:jc w:val="right"/>
              <w:ind w:right="640"/>
              <w:spacing w:after="0"/>
              <w:rPr>
                <w:sz w:val="20"/>
                <w:szCs w:val="20"/>
                <w:color w:val="auto"/>
              </w:rPr>
            </w:pPr>
            <w:r>
              <w:rPr>
                <w:rFonts w:ascii="Arial" w:cs="Arial" w:eastAsia="Arial" w:hAnsi="Arial"/>
                <w:sz w:val="18"/>
                <w:szCs w:val="18"/>
                <w:b w:val="1"/>
                <w:bCs w:val="1"/>
                <w:color w:val="auto"/>
              </w:rPr>
              <w:t>6M19</w:t>
            </w:r>
          </w:p>
        </w:tc>
        <w:tc>
          <w:tcPr>
            <w:tcW w:w="240" w:type="dxa"/>
            <w:vAlign w:val="bottom"/>
          </w:tcPr>
          <w:p>
            <w:pPr>
              <w:spacing w:after="0"/>
              <w:rPr>
                <w:sz w:val="24"/>
                <w:szCs w:val="24"/>
                <w:color w:val="auto"/>
              </w:rPr>
            </w:pPr>
          </w:p>
        </w:tc>
        <w:tc>
          <w:tcPr>
            <w:tcW w:w="1160" w:type="dxa"/>
            <w:vAlign w:val="bottom"/>
            <w:gridSpan w:val="2"/>
          </w:tcPr>
          <w:p>
            <w:pPr>
              <w:jc w:val="right"/>
              <w:ind w:right="580"/>
              <w:spacing w:after="0"/>
              <w:rPr>
                <w:sz w:val="20"/>
                <w:szCs w:val="20"/>
                <w:color w:val="auto"/>
              </w:rPr>
            </w:pPr>
            <w:r>
              <w:rPr>
                <w:rFonts w:ascii="Arial" w:cs="Arial" w:eastAsia="Arial" w:hAnsi="Arial"/>
                <w:sz w:val="18"/>
                <w:szCs w:val="18"/>
                <w:b w:val="1"/>
                <w:bCs w:val="1"/>
                <w:color w:val="auto"/>
              </w:rPr>
              <w:t>6M18</w:t>
            </w:r>
          </w:p>
        </w:tc>
        <w:tc>
          <w:tcPr>
            <w:tcW w:w="6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160" w:type="dxa"/>
            <w:vAlign w:val="bottom"/>
            <w:gridSpan w:val="2"/>
          </w:tcPr>
          <w:p>
            <w:pPr>
              <w:jc w:val="right"/>
              <w:ind w:right="600"/>
              <w:spacing w:after="0"/>
              <w:rPr>
                <w:sz w:val="20"/>
                <w:szCs w:val="20"/>
                <w:color w:val="auto"/>
              </w:rPr>
            </w:pPr>
            <w:r>
              <w:rPr>
                <w:rFonts w:ascii="Arial" w:cs="Arial" w:eastAsia="Arial" w:hAnsi="Arial"/>
                <w:sz w:val="18"/>
                <w:szCs w:val="18"/>
                <w:b w:val="1"/>
                <w:bCs w:val="1"/>
                <w:color w:val="auto"/>
              </w:rPr>
              <w:t>2Q19</w:t>
            </w:r>
          </w:p>
        </w:tc>
        <w:tc>
          <w:tcPr>
            <w:tcW w:w="6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240" w:type="dxa"/>
            <w:vAlign w:val="bottom"/>
            <w:gridSpan w:val="2"/>
          </w:tcPr>
          <w:p>
            <w:pPr>
              <w:jc w:val="right"/>
              <w:ind w:right="660"/>
              <w:spacing w:after="0"/>
              <w:rPr>
                <w:sz w:val="20"/>
                <w:szCs w:val="20"/>
                <w:color w:val="auto"/>
              </w:rPr>
            </w:pPr>
            <w:r>
              <w:rPr>
                <w:rFonts w:ascii="Arial" w:cs="Arial" w:eastAsia="Arial" w:hAnsi="Arial"/>
                <w:sz w:val="18"/>
                <w:szCs w:val="18"/>
                <w:b w:val="1"/>
                <w:bCs w:val="1"/>
                <w:color w:val="auto"/>
              </w:rPr>
              <w:t>1Q19</w:t>
            </w:r>
          </w:p>
        </w:tc>
        <w:tc>
          <w:tcPr>
            <w:tcW w:w="240" w:type="dxa"/>
            <w:vAlign w:val="bottom"/>
          </w:tcPr>
          <w:p>
            <w:pPr>
              <w:spacing w:after="0"/>
              <w:rPr>
                <w:sz w:val="24"/>
                <w:szCs w:val="24"/>
                <w:color w:val="auto"/>
              </w:rPr>
            </w:pPr>
          </w:p>
        </w:tc>
        <w:tc>
          <w:tcPr>
            <w:tcW w:w="1120" w:type="dxa"/>
            <w:vAlign w:val="bottom"/>
            <w:gridSpan w:val="2"/>
          </w:tcPr>
          <w:p>
            <w:pPr>
              <w:jc w:val="right"/>
              <w:ind w:right="560"/>
              <w:spacing w:after="0"/>
              <w:rPr>
                <w:sz w:val="20"/>
                <w:szCs w:val="20"/>
                <w:color w:val="auto"/>
              </w:rPr>
            </w:pPr>
            <w:r>
              <w:rPr>
                <w:rFonts w:ascii="Arial" w:cs="Arial" w:eastAsia="Arial" w:hAnsi="Arial"/>
                <w:sz w:val="18"/>
                <w:szCs w:val="18"/>
                <w:b w:val="1"/>
                <w:bCs w:val="1"/>
                <w:color w:val="auto"/>
              </w:rPr>
              <w:t>2Q18</w:t>
            </w:r>
          </w:p>
        </w:tc>
      </w:tr>
      <w:tr>
        <w:trPr>
          <w:trHeight w:val="210"/>
        </w:trPr>
        <w:tc>
          <w:tcPr>
            <w:tcW w:w="412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Key Income Statement Highlights</w:t>
            </w:r>
          </w:p>
        </w:tc>
        <w:tc>
          <w:tcPr>
            <w:tcW w:w="10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auto"/>
            </w:tcBorders>
            <w:shd w:val="clear" w:color="auto" w:fill="CCEEFF"/>
          </w:tcPr>
          <w:p>
            <w:pPr>
              <w:spacing w:after="0"/>
              <w:rPr>
                <w:sz w:val="18"/>
                <w:szCs w:val="18"/>
                <w:color w:val="auto"/>
              </w:rPr>
            </w:pPr>
          </w:p>
        </w:tc>
        <w:tc>
          <w:tcPr>
            <w:tcW w:w="940" w:type="dxa"/>
            <w:vAlign w:val="bottom"/>
            <w:tcBorders>
              <w:top w:val="single" w:sz="8" w:color="auto"/>
            </w:tcBorders>
            <w:shd w:val="clear" w:color="auto" w:fill="CCEEFF"/>
          </w:tcPr>
          <w:p>
            <w:pPr>
              <w:spacing w:after="0"/>
              <w:rPr>
                <w:sz w:val="18"/>
                <w:szCs w:val="18"/>
                <w:color w:val="auto"/>
              </w:rPr>
            </w:pPr>
          </w:p>
        </w:tc>
        <w:tc>
          <w:tcPr>
            <w:tcW w:w="26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auto"/>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auto"/>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auto"/>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spacing w:after="0"/>
              <w:rPr>
                <w:sz w:val="18"/>
                <w:szCs w:val="18"/>
                <w:color w:val="auto"/>
              </w:rPr>
            </w:pPr>
          </w:p>
        </w:tc>
        <w:tc>
          <w:tcPr>
            <w:tcW w:w="28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auto"/>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r>
      <w:tr>
        <w:trPr>
          <w:trHeight w:val="216"/>
        </w:trPr>
        <w:tc>
          <w:tcPr>
            <w:tcW w:w="4120" w:type="dxa"/>
            <w:vAlign w:val="bottom"/>
          </w:tcPr>
          <w:p>
            <w:pPr>
              <w:spacing w:after="0"/>
              <w:rPr>
                <w:sz w:val="20"/>
                <w:szCs w:val="20"/>
                <w:color w:val="auto"/>
              </w:rPr>
            </w:pPr>
            <w:r>
              <w:rPr>
                <w:rFonts w:ascii="Arial" w:cs="Arial" w:eastAsia="Arial" w:hAnsi="Arial"/>
                <w:sz w:val="18"/>
                <w:szCs w:val="18"/>
                <w:color w:val="auto"/>
              </w:rPr>
              <w:t>Net Interest Income ("NII")</w:t>
            </w:r>
          </w:p>
        </w:tc>
        <w:tc>
          <w:tcPr>
            <w:tcW w:w="34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60"/>
              <w:spacing w:after="0"/>
              <w:rPr>
                <w:sz w:val="20"/>
                <w:szCs w:val="20"/>
                <w:color w:val="auto"/>
              </w:rPr>
            </w:pPr>
            <w:r>
              <w:rPr>
                <w:rFonts w:ascii="Arial" w:cs="Arial" w:eastAsia="Arial" w:hAnsi="Arial"/>
                <w:sz w:val="18"/>
                <w:szCs w:val="18"/>
                <w:color w:val="auto"/>
              </w:rPr>
              <w:t>56.0</w:t>
            </w:r>
          </w:p>
        </w:tc>
        <w:tc>
          <w:tcPr>
            <w:tcW w:w="240" w:type="dxa"/>
            <w:vAlign w:val="bottom"/>
          </w:tcPr>
          <w:p>
            <w:pPr>
              <w:jc w:val="right"/>
              <w:ind w:right="50"/>
              <w:spacing w:after="0"/>
              <w:rPr>
                <w:sz w:val="20"/>
                <w:szCs w:val="20"/>
                <w:color w:val="auto"/>
              </w:rPr>
            </w:pPr>
            <w:r>
              <w:rPr>
                <w:rFonts w:ascii="Arial" w:cs="Arial" w:eastAsia="Arial" w:hAnsi="Arial"/>
                <w:sz w:val="18"/>
                <w:szCs w:val="18"/>
                <w:color w:val="auto"/>
                <w:w w:val="79"/>
              </w:rPr>
              <w:t>$</w:t>
            </w:r>
          </w:p>
        </w:tc>
        <w:tc>
          <w:tcPr>
            <w:tcW w:w="1160" w:type="dxa"/>
            <w:vAlign w:val="bottom"/>
            <w:gridSpan w:val="2"/>
          </w:tcPr>
          <w:p>
            <w:pPr>
              <w:jc w:val="right"/>
              <w:ind w:right="200"/>
              <w:spacing w:after="0"/>
              <w:rPr>
                <w:sz w:val="20"/>
                <w:szCs w:val="20"/>
                <w:color w:val="auto"/>
              </w:rPr>
            </w:pPr>
            <w:r>
              <w:rPr>
                <w:rFonts w:ascii="Arial" w:cs="Arial" w:eastAsia="Arial" w:hAnsi="Arial"/>
                <w:sz w:val="18"/>
                <w:szCs w:val="18"/>
                <w:color w:val="auto"/>
              </w:rPr>
              <w:t>54.5</w:t>
            </w:r>
          </w:p>
        </w:tc>
        <w:tc>
          <w:tcPr>
            <w:tcW w:w="30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160" w:type="dxa"/>
            <w:vAlign w:val="bottom"/>
            <w:gridSpan w:val="2"/>
          </w:tcPr>
          <w:p>
            <w:pPr>
              <w:jc w:val="right"/>
              <w:ind w:right="200"/>
              <w:spacing w:after="0"/>
              <w:rPr>
                <w:sz w:val="20"/>
                <w:szCs w:val="20"/>
                <w:color w:val="auto"/>
              </w:rPr>
            </w:pPr>
            <w:r>
              <w:rPr>
                <w:rFonts w:ascii="Arial" w:cs="Arial" w:eastAsia="Arial" w:hAnsi="Arial"/>
                <w:sz w:val="18"/>
                <w:szCs w:val="18"/>
                <w:color w:val="auto"/>
              </w:rPr>
              <w:t>27.9</w:t>
            </w:r>
          </w:p>
        </w:tc>
        <w:tc>
          <w:tcPr>
            <w:tcW w:w="30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240" w:type="dxa"/>
            <w:vAlign w:val="bottom"/>
            <w:gridSpan w:val="2"/>
          </w:tcPr>
          <w:p>
            <w:pPr>
              <w:jc w:val="right"/>
              <w:ind w:right="280"/>
              <w:spacing w:after="0"/>
              <w:rPr>
                <w:sz w:val="20"/>
                <w:szCs w:val="20"/>
                <w:color w:val="auto"/>
              </w:rPr>
            </w:pPr>
            <w:r>
              <w:rPr>
                <w:rFonts w:ascii="Arial" w:cs="Arial" w:eastAsia="Arial" w:hAnsi="Arial"/>
                <w:sz w:val="18"/>
                <w:szCs w:val="18"/>
                <w:color w:val="auto"/>
              </w:rPr>
              <w:t>28.0</w:t>
            </w:r>
          </w:p>
        </w:tc>
        <w:tc>
          <w:tcPr>
            <w:tcW w:w="240" w:type="dxa"/>
            <w:vAlign w:val="bottom"/>
          </w:tcPr>
          <w:p>
            <w:pPr>
              <w:jc w:val="right"/>
              <w:ind w:right="85"/>
              <w:spacing w:after="0"/>
              <w:rPr>
                <w:sz w:val="20"/>
                <w:szCs w:val="20"/>
                <w:color w:val="auto"/>
              </w:rPr>
            </w:pPr>
            <w:r>
              <w:rPr>
                <w:rFonts w:ascii="Arial" w:cs="Arial" w:eastAsia="Arial" w:hAnsi="Arial"/>
                <w:sz w:val="15"/>
                <w:szCs w:val="15"/>
                <w:color w:val="auto"/>
                <w:w w:val="71"/>
              </w:rPr>
              <w:t>$</w:t>
            </w:r>
          </w:p>
        </w:tc>
        <w:tc>
          <w:tcPr>
            <w:tcW w:w="1120" w:type="dxa"/>
            <w:vAlign w:val="bottom"/>
            <w:gridSpan w:val="2"/>
          </w:tcPr>
          <w:p>
            <w:pPr>
              <w:jc w:val="right"/>
              <w:ind w:right="160"/>
              <w:spacing w:after="0"/>
              <w:rPr>
                <w:sz w:val="20"/>
                <w:szCs w:val="20"/>
                <w:color w:val="auto"/>
              </w:rPr>
            </w:pPr>
            <w:r>
              <w:rPr>
                <w:rFonts w:ascii="Arial" w:cs="Arial" w:eastAsia="Arial" w:hAnsi="Arial"/>
                <w:sz w:val="18"/>
                <w:szCs w:val="18"/>
                <w:color w:val="auto"/>
              </w:rPr>
              <w:t>27.9</w:t>
            </w:r>
          </w:p>
        </w:tc>
      </w:tr>
      <w:tr>
        <w:trPr>
          <w:trHeight w:val="216"/>
        </w:trPr>
        <w:tc>
          <w:tcPr>
            <w:tcW w:w="4120" w:type="dxa"/>
            <w:vAlign w:val="bottom"/>
            <w:shd w:val="clear" w:color="auto" w:fill="CCEEFF"/>
          </w:tcPr>
          <w:p>
            <w:pPr>
              <w:spacing w:after="0"/>
              <w:rPr>
                <w:sz w:val="20"/>
                <w:szCs w:val="20"/>
                <w:color w:val="auto"/>
              </w:rPr>
            </w:pPr>
            <w:r>
              <w:rPr>
                <w:rFonts w:ascii="Arial" w:cs="Arial" w:eastAsia="Arial" w:hAnsi="Arial"/>
                <w:sz w:val="18"/>
                <w:szCs w:val="18"/>
                <w:color w:val="auto"/>
              </w:rPr>
              <w:t>Fees and commissions, net</w:t>
            </w:r>
          </w:p>
        </w:tc>
        <w:tc>
          <w:tcPr>
            <w:tcW w:w="3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7.5</w:t>
            </w:r>
          </w:p>
        </w:tc>
        <w:tc>
          <w:tcPr>
            <w:tcW w:w="260" w:type="dxa"/>
            <w:vAlign w:val="bottom"/>
            <w:shd w:val="clear" w:color="auto" w:fill="CCEEFF"/>
          </w:tcPr>
          <w:p>
            <w:pPr>
              <w:spacing w:after="0"/>
              <w:rPr>
                <w:sz w:val="18"/>
                <w:szCs w:val="18"/>
                <w:color w:val="auto"/>
              </w:rPr>
            </w:pPr>
          </w:p>
        </w:tc>
        <w:tc>
          <w:tcPr>
            <w:tcW w:w="240" w:type="dxa"/>
            <w:vAlign w:val="bottom"/>
            <w:shd w:val="clear" w:color="auto" w:fill="CCEEFF"/>
          </w:tcPr>
          <w:p>
            <w:pPr>
              <w:jc w:val="right"/>
              <w:ind w:right="50"/>
              <w:spacing w:after="0"/>
              <w:rPr>
                <w:sz w:val="20"/>
                <w:szCs w:val="20"/>
                <w:color w:val="auto"/>
              </w:rPr>
            </w:pPr>
            <w:r>
              <w:rPr>
                <w:rFonts w:ascii="Arial" w:cs="Arial" w:eastAsia="Arial" w:hAnsi="Arial"/>
                <w:sz w:val="18"/>
                <w:szCs w:val="18"/>
                <w:color w:val="auto"/>
                <w:w w:val="79"/>
              </w:rPr>
              <w:t>$</w:t>
            </w:r>
          </w:p>
        </w:tc>
        <w:tc>
          <w:tcPr>
            <w:tcW w:w="11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8.1</w:t>
            </w:r>
          </w:p>
        </w:tc>
        <w:tc>
          <w:tcPr>
            <w:tcW w:w="3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11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5.1</w:t>
            </w:r>
          </w:p>
        </w:tc>
        <w:tc>
          <w:tcPr>
            <w:tcW w:w="3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2.4</w:t>
            </w:r>
          </w:p>
        </w:tc>
        <w:tc>
          <w:tcPr>
            <w:tcW w:w="280" w:type="dxa"/>
            <w:vAlign w:val="bottom"/>
            <w:shd w:val="clear" w:color="auto" w:fill="CCEEFF"/>
          </w:tcPr>
          <w:p>
            <w:pPr>
              <w:spacing w:after="0"/>
              <w:rPr>
                <w:sz w:val="18"/>
                <w:szCs w:val="18"/>
                <w:color w:val="auto"/>
              </w:rPr>
            </w:pPr>
          </w:p>
        </w:tc>
        <w:tc>
          <w:tcPr>
            <w:tcW w:w="240" w:type="dxa"/>
            <w:vAlign w:val="bottom"/>
            <w:shd w:val="clear" w:color="auto" w:fill="CCEEFF"/>
          </w:tcPr>
          <w:p>
            <w:pPr>
              <w:jc w:val="right"/>
              <w:ind w:right="85"/>
              <w:spacing w:after="0"/>
              <w:rPr>
                <w:sz w:val="20"/>
                <w:szCs w:val="20"/>
                <w:color w:val="auto"/>
              </w:rPr>
            </w:pPr>
            <w:r>
              <w:rPr>
                <w:rFonts w:ascii="Arial" w:cs="Arial" w:eastAsia="Arial" w:hAnsi="Arial"/>
                <w:sz w:val="15"/>
                <w:szCs w:val="15"/>
                <w:color w:val="auto"/>
                <w:w w:val="71"/>
              </w:rPr>
              <w:t>$</w:t>
            </w: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5.0</w:t>
            </w:r>
          </w:p>
        </w:tc>
      </w:tr>
      <w:tr>
        <w:trPr>
          <w:trHeight w:val="216"/>
        </w:trPr>
        <w:tc>
          <w:tcPr>
            <w:tcW w:w="4120" w:type="dxa"/>
            <w:vAlign w:val="bottom"/>
          </w:tcPr>
          <w:p>
            <w:pPr>
              <w:spacing w:after="0"/>
              <w:rPr>
                <w:sz w:val="20"/>
                <w:szCs w:val="20"/>
                <w:color w:val="auto"/>
              </w:rPr>
            </w:pPr>
            <w:r>
              <w:rPr>
                <w:rFonts w:ascii="Arial" w:cs="Arial" w:eastAsia="Arial" w:hAnsi="Arial"/>
                <w:sz w:val="18"/>
                <w:szCs w:val="18"/>
                <w:color w:val="auto"/>
              </w:rPr>
              <w:t>Total revenues</w:t>
            </w:r>
          </w:p>
        </w:tc>
        <w:tc>
          <w:tcPr>
            <w:tcW w:w="34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60"/>
              <w:spacing w:after="0"/>
              <w:rPr>
                <w:sz w:val="20"/>
                <w:szCs w:val="20"/>
                <w:color w:val="auto"/>
              </w:rPr>
            </w:pPr>
            <w:r>
              <w:rPr>
                <w:rFonts w:ascii="Arial" w:cs="Arial" w:eastAsia="Arial" w:hAnsi="Arial"/>
                <w:sz w:val="18"/>
                <w:szCs w:val="18"/>
                <w:color w:val="auto"/>
              </w:rPr>
              <w:t>65.7</w:t>
            </w:r>
          </w:p>
        </w:tc>
        <w:tc>
          <w:tcPr>
            <w:tcW w:w="240" w:type="dxa"/>
            <w:vAlign w:val="bottom"/>
          </w:tcPr>
          <w:p>
            <w:pPr>
              <w:jc w:val="right"/>
              <w:ind w:right="50"/>
              <w:spacing w:after="0"/>
              <w:rPr>
                <w:sz w:val="20"/>
                <w:szCs w:val="20"/>
                <w:color w:val="auto"/>
              </w:rPr>
            </w:pPr>
            <w:r>
              <w:rPr>
                <w:rFonts w:ascii="Arial" w:cs="Arial" w:eastAsia="Arial" w:hAnsi="Arial"/>
                <w:sz w:val="18"/>
                <w:szCs w:val="18"/>
                <w:color w:val="auto"/>
                <w:w w:val="79"/>
              </w:rPr>
              <w:t>$</w:t>
            </w:r>
          </w:p>
        </w:tc>
        <w:tc>
          <w:tcPr>
            <w:tcW w:w="1160" w:type="dxa"/>
            <w:vAlign w:val="bottom"/>
            <w:gridSpan w:val="2"/>
          </w:tcPr>
          <w:p>
            <w:pPr>
              <w:jc w:val="right"/>
              <w:ind w:right="200"/>
              <w:spacing w:after="0"/>
              <w:rPr>
                <w:sz w:val="20"/>
                <w:szCs w:val="20"/>
                <w:color w:val="auto"/>
              </w:rPr>
            </w:pPr>
            <w:r>
              <w:rPr>
                <w:rFonts w:ascii="Arial" w:cs="Arial" w:eastAsia="Arial" w:hAnsi="Arial"/>
                <w:sz w:val="18"/>
                <w:szCs w:val="18"/>
                <w:color w:val="auto"/>
              </w:rPr>
              <w:t>63.4</w:t>
            </w:r>
          </w:p>
        </w:tc>
        <w:tc>
          <w:tcPr>
            <w:tcW w:w="30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160" w:type="dxa"/>
            <w:vAlign w:val="bottom"/>
            <w:gridSpan w:val="2"/>
          </w:tcPr>
          <w:p>
            <w:pPr>
              <w:jc w:val="right"/>
              <w:ind w:right="200"/>
              <w:spacing w:after="0"/>
              <w:rPr>
                <w:sz w:val="20"/>
                <w:szCs w:val="20"/>
                <w:color w:val="auto"/>
              </w:rPr>
            </w:pPr>
            <w:r>
              <w:rPr>
                <w:rFonts w:ascii="Arial" w:cs="Arial" w:eastAsia="Arial" w:hAnsi="Arial"/>
                <w:sz w:val="18"/>
                <w:szCs w:val="18"/>
                <w:color w:val="auto"/>
              </w:rPr>
              <w:t>33.6</w:t>
            </w:r>
          </w:p>
        </w:tc>
        <w:tc>
          <w:tcPr>
            <w:tcW w:w="30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240" w:type="dxa"/>
            <w:vAlign w:val="bottom"/>
            <w:gridSpan w:val="2"/>
          </w:tcPr>
          <w:p>
            <w:pPr>
              <w:jc w:val="right"/>
              <w:ind w:right="280"/>
              <w:spacing w:after="0"/>
              <w:rPr>
                <w:sz w:val="20"/>
                <w:szCs w:val="20"/>
                <w:color w:val="auto"/>
              </w:rPr>
            </w:pPr>
            <w:r>
              <w:rPr>
                <w:rFonts w:ascii="Arial" w:cs="Arial" w:eastAsia="Arial" w:hAnsi="Arial"/>
                <w:sz w:val="18"/>
                <w:szCs w:val="18"/>
                <w:color w:val="auto"/>
              </w:rPr>
              <w:t>32.1</w:t>
            </w:r>
          </w:p>
        </w:tc>
        <w:tc>
          <w:tcPr>
            <w:tcW w:w="240" w:type="dxa"/>
            <w:vAlign w:val="bottom"/>
          </w:tcPr>
          <w:p>
            <w:pPr>
              <w:jc w:val="right"/>
              <w:ind w:right="85"/>
              <w:spacing w:after="0"/>
              <w:rPr>
                <w:sz w:val="20"/>
                <w:szCs w:val="20"/>
                <w:color w:val="auto"/>
              </w:rPr>
            </w:pPr>
            <w:r>
              <w:rPr>
                <w:rFonts w:ascii="Arial" w:cs="Arial" w:eastAsia="Arial" w:hAnsi="Arial"/>
                <w:sz w:val="15"/>
                <w:szCs w:val="15"/>
                <w:color w:val="auto"/>
                <w:w w:val="71"/>
              </w:rPr>
              <w:t>$</w:t>
            </w:r>
          </w:p>
        </w:tc>
        <w:tc>
          <w:tcPr>
            <w:tcW w:w="1120" w:type="dxa"/>
            <w:vAlign w:val="bottom"/>
            <w:gridSpan w:val="2"/>
          </w:tcPr>
          <w:p>
            <w:pPr>
              <w:jc w:val="right"/>
              <w:ind w:right="160"/>
              <w:spacing w:after="0"/>
              <w:rPr>
                <w:sz w:val="20"/>
                <w:szCs w:val="20"/>
                <w:color w:val="auto"/>
              </w:rPr>
            </w:pPr>
            <w:r>
              <w:rPr>
                <w:rFonts w:ascii="Arial" w:cs="Arial" w:eastAsia="Arial" w:hAnsi="Arial"/>
                <w:sz w:val="18"/>
                <w:szCs w:val="18"/>
                <w:color w:val="auto"/>
              </w:rPr>
              <w:t>32.7</w:t>
            </w:r>
          </w:p>
        </w:tc>
      </w:tr>
      <w:tr>
        <w:trPr>
          <w:trHeight w:val="216"/>
        </w:trPr>
        <w:tc>
          <w:tcPr>
            <w:tcW w:w="4120" w:type="dxa"/>
            <w:vAlign w:val="bottom"/>
            <w:shd w:val="clear" w:color="auto" w:fill="CCEEFF"/>
          </w:tcPr>
          <w:p>
            <w:pPr>
              <w:spacing w:after="0"/>
              <w:rPr>
                <w:sz w:val="20"/>
                <w:szCs w:val="20"/>
                <w:color w:val="auto"/>
              </w:rPr>
            </w:pPr>
            <w:r>
              <w:rPr>
                <w:rFonts w:ascii="Arial" w:cs="Arial" w:eastAsia="Arial" w:hAnsi="Arial"/>
                <w:sz w:val="18"/>
                <w:szCs w:val="18"/>
                <w:color w:val="auto"/>
              </w:rPr>
              <w:t>Impairment loss on financial instruments</w:t>
            </w:r>
          </w:p>
        </w:tc>
        <w:tc>
          <w:tcPr>
            <w:tcW w:w="3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(1.8)</w:t>
            </w:r>
          </w:p>
        </w:tc>
        <w:tc>
          <w:tcPr>
            <w:tcW w:w="240" w:type="dxa"/>
            <w:vAlign w:val="bottom"/>
            <w:shd w:val="clear" w:color="auto" w:fill="CCEEFF"/>
          </w:tcPr>
          <w:p>
            <w:pPr>
              <w:jc w:val="right"/>
              <w:ind w:right="50"/>
              <w:spacing w:after="0"/>
              <w:rPr>
                <w:sz w:val="20"/>
                <w:szCs w:val="20"/>
                <w:color w:val="auto"/>
              </w:rPr>
            </w:pPr>
            <w:r>
              <w:rPr>
                <w:rFonts w:ascii="Arial" w:cs="Arial" w:eastAsia="Arial" w:hAnsi="Arial"/>
                <w:sz w:val="18"/>
                <w:szCs w:val="18"/>
                <w:color w:val="auto"/>
                <w:w w:val="79"/>
              </w:rPr>
              <w:t>$</w:t>
            </w:r>
          </w:p>
        </w:tc>
        <w:tc>
          <w:tcPr>
            <w:tcW w:w="11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(3.7)</w:t>
            </w:r>
          </w:p>
        </w:tc>
        <w:tc>
          <w:tcPr>
            <w:tcW w:w="3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11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(0.8)</w:t>
            </w:r>
          </w:p>
        </w:tc>
        <w:tc>
          <w:tcPr>
            <w:tcW w:w="3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(0.9)</w:t>
            </w:r>
          </w:p>
        </w:tc>
        <w:tc>
          <w:tcPr>
            <w:tcW w:w="240" w:type="dxa"/>
            <w:vAlign w:val="bottom"/>
            <w:shd w:val="clear" w:color="auto" w:fill="CCEEFF"/>
          </w:tcPr>
          <w:p>
            <w:pPr>
              <w:jc w:val="right"/>
              <w:ind w:right="85"/>
              <w:spacing w:after="0"/>
              <w:rPr>
                <w:sz w:val="20"/>
                <w:szCs w:val="20"/>
                <w:color w:val="auto"/>
              </w:rPr>
            </w:pPr>
            <w:r>
              <w:rPr>
                <w:rFonts w:ascii="Arial" w:cs="Arial" w:eastAsia="Arial" w:hAnsi="Arial"/>
                <w:sz w:val="15"/>
                <w:szCs w:val="15"/>
                <w:color w:val="auto"/>
                <w:w w:val="71"/>
              </w:rPr>
              <w:t>$</w:t>
            </w:r>
          </w:p>
        </w:tc>
        <w:tc>
          <w:tcPr>
            <w:tcW w:w="11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(1.8)</w:t>
            </w:r>
          </w:p>
        </w:tc>
      </w:tr>
      <w:tr>
        <w:trPr>
          <w:trHeight w:val="216"/>
        </w:trPr>
        <w:tc>
          <w:tcPr>
            <w:tcW w:w="4120" w:type="dxa"/>
            <w:vAlign w:val="bottom"/>
          </w:tcPr>
          <w:p>
            <w:pPr>
              <w:spacing w:after="0"/>
              <w:rPr>
                <w:sz w:val="20"/>
                <w:szCs w:val="20"/>
                <w:color w:val="auto"/>
              </w:rPr>
            </w:pPr>
            <w:r>
              <w:rPr>
                <w:rFonts w:ascii="Arial" w:cs="Arial" w:eastAsia="Arial" w:hAnsi="Arial"/>
                <w:sz w:val="18"/>
                <w:szCs w:val="18"/>
                <w:color w:val="auto"/>
              </w:rPr>
              <w:t>Impairment loss on non-financial assets</w:t>
            </w:r>
          </w:p>
        </w:tc>
        <w:tc>
          <w:tcPr>
            <w:tcW w:w="34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940" w:type="dxa"/>
            <w:vAlign w:val="bottom"/>
          </w:tcPr>
          <w:p>
            <w:pPr>
              <w:jc w:val="right"/>
              <w:spacing w:after="0"/>
              <w:rPr>
                <w:sz w:val="20"/>
                <w:szCs w:val="20"/>
                <w:color w:val="auto"/>
              </w:rPr>
            </w:pPr>
            <w:r>
              <w:rPr>
                <w:rFonts w:ascii="Arial" w:cs="Arial" w:eastAsia="Arial" w:hAnsi="Arial"/>
                <w:sz w:val="18"/>
                <w:szCs w:val="18"/>
                <w:color w:val="auto"/>
              </w:rPr>
              <w:t>0.0</w:t>
            </w:r>
          </w:p>
        </w:tc>
        <w:tc>
          <w:tcPr>
            <w:tcW w:w="260" w:type="dxa"/>
            <w:vAlign w:val="bottom"/>
          </w:tcPr>
          <w:p>
            <w:pPr>
              <w:spacing w:after="0"/>
              <w:rPr>
                <w:sz w:val="18"/>
                <w:szCs w:val="18"/>
                <w:color w:val="auto"/>
              </w:rPr>
            </w:pPr>
          </w:p>
        </w:tc>
        <w:tc>
          <w:tcPr>
            <w:tcW w:w="240" w:type="dxa"/>
            <w:vAlign w:val="bottom"/>
          </w:tcPr>
          <w:p>
            <w:pPr>
              <w:jc w:val="right"/>
              <w:ind w:right="50"/>
              <w:spacing w:after="0"/>
              <w:rPr>
                <w:sz w:val="20"/>
                <w:szCs w:val="20"/>
                <w:color w:val="auto"/>
              </w:rPr>
            </w:pPr>
            <w:r>
              <w:rPr>
                <w:rFonts w:ascii="Arial" w:cs="Arial" w:eastAsia="Arial" w:hAnsi="Arial"/>
                <w:sz w:val="18"/>
                <w:szCs w:val="18"/>
                <w:color w:val="auto"/>
                <w:w w:val="79"/>
              </w:rPr>
              <w:t>$</w:t>
            </w:r>
          </w:p>
        </w:tc>
        <w:tc>
          <w:tcPr>
            <w:tcW w:w="1160" w:type="dxa"/>
            <w:vAlign w:val="bottom"/>
            <w:gridSpan w:val="2"/>
          </w:tcPr>
          <w:p>
            <w:pPr>
              <w:jc w:val="right"/>
              <w:ind w:right="140"/>
              <w:spacing w:after="0"/>
              <w:rPr>
                <w:sz w:val="20"/>
                <w:szCs w:val="20"/>
                <w:color w:val="auto"/>
              </w:rPr>
            </w:pPr>
            <w:r>
              <w:rPr>
                <w:rFonts w:ascii="Arial" w:cs="Arial" w:eastAsia="Arial" w:hAnsi="Arial"/>
                <w:sz w:val="18"/>
                <w:szCs w:val="18"/>
                <w:color w:val="auto"/>
              </w:rPr>
              <w:t>(2.9)</w:t>
            </w:r>
          </w:p>
        </w:tc>
        <w:tc>
          <w:tcPr>
            <w:tcW w:w="30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160" w:type="dxa"/>
            <w:vAlign w:val="bottom"/>
            <w:gridSpan w:val="2"/>
          </w:tcPr>
          <w:p>
            <w:pPr>
              <w:jc w:val="right"/>
              <w:ind w:right="200"/>
              <w:spacing w:after="0"/>
              <w:rPr>
                <w:sz w:val="20"/>
                <w:szCs w:val="20"/>
                <w:color w:val="auto"/>
              </w:rPr>
            </w:pPr>
            <w:r>
              <w:rPr>
                <w:rFonts w:ascii="Arial" w:cs="Arial" w:eastAsia="Arial" w:hAnsi="Arial"/>
                <w:sz w:val="18"/>
                <w:szCs w:val="18"/>
                <w:color w:val="auto"/>
              </w:rPr>
              <w:t>0.0</w:t>
            </w:r>
          </w:p>
        </w:tc>
        <w:tc>
          <w:tcPr>
            <w:tcW w:w="30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960" w:type="dxa"/>
            <w:vAlign w:val="bottom"/>
          </w:tcPr>
          <w:p>
            <w:pPr>
              <w:jc w:val="right"/>
              <w:spacing w:after="0"/>
              <w:rPr>
                <w:sz w:val="20"/>
                <w:szCs w:val="20"/>
                <w:color w:val="auto"/>
              </w:rPr>
            </w:pPr>
            <w:r>
              <w:rPr>
                <w:rFonts w:ascii="Arial" w:cs="Arial" w:eastAsia="Arial" w:hAnsi="Arial"/>
                <w:sz w:val="18"/>
                <w:szCs w:val="18"/>
                <w:color w:val="auto"/>
              </w:rPr>
              <w:t>0.0</w:t>
            </w:r>
          </w:p>
        </w:tc>
        <w:tc>
          <w:tcPr>
            <w:tcW w:w="280" w:type="dxa"/>
            <w:vAlign w:val="bottom"/>
          </w:tcPr>
          <w:p>
            <w:pPr>
              <w:spacing w:after="0"/>
              <w:rPr>
                <w:sz w:val="18"/>
                <w:szCs w:val="18"/>
                <w:color w:val="auto"/>
              </w:rPr>
            </w:pPr>
          </w:p>
        </w:tc>
        <w:tc>
          <w:tcPr>
            <w:tcW w:w="240" w:type="dxa"/>
            <w:vAlign w:val="bottom"/>
          </w:tcPr>
          <w:p>
            <w:pPr>
              <w:jc w:val="right"/>
              <w:ind w:right="85"/>
              <w:spacing w:after="0"/>
              <w:rPr>
                <w:sz w:val="20"/>
                <w:szCs w:val="20"/>
                <w:color w:val="auto"/>
              </w:rPr>
            </w:pPr>
            <w:r>
              <w:rPr>
                <w:rFonts w:ascii="Arial" w:cs="Arial" w:eastAsia="Arial" w:hAnsi="Arial"/>
                <w:sz w:val="15"/>
                <w:szCs w:val="15"/>
                <w:color w:val="auto"/>
                <w:w w:val="71"/>
              </w:rPr>
              <w:t>$</w:t>
            </w:r>
          </w:p>
        </w:tc>
        <w:tc>
          <w:tcPr>
            <w:tcW w:w="1120" w:type="dxa"/>
            <w:vAlign w:val="bottom"/>
            <w:gridSpan w:val="2"/>
          </w:tcPr>
          <w:p>
            <w:pPr>
              <w:jc w:val="right"/>
              <w:ind w:right="100"/>
              <w:spacing w:after="0"/>
              <w:rPr>
                <w:sz w:val="20"/>
                <w:szCs w:val="20"/>
                <w:color w:val="auto"/>
              </w:rPr>
            </w:pPr>
            <w:r>
              <w:rPr>
                <w:rFonts w:ascii="Arial" w:cs="Arial" w:eastAsia="Arial" w:hAnsi="Arial"/>
                <w:sz w:val="18"/>
                <w:szCs w:val="18"/>
                <w:color w:val="auto"/>
              </w:rPr>
              <w:t>(2.9)</w:t>
            </w:r>
          </w:p>
        </w:tc>
      </w:tr>
      <w:tr>
        <w:trPr>
          <w:trHeight w:val="216"/>
        </w:trPr>
        <w:tc>
          <w:tcPr>
            <w:tcW w:w="4120" w:type="dxa"/>
            <w:vAlign w:val="bottom"/>
            <w:shd w:val="clear" w:color="auto" w:fill="CCEEFF"/>
          </w:tcPr>
          <w:p>
            <w:pPr>
              <w:spacing w:after="0"/>
              <w:rPr>
                <w:sz w:val="20"/>
                <w:szCs w:val="20"/>
                <w:color w:val="auto"/>
              </w:rPr>
            </w:pPr>
            <w:r>
              <w:rPr>
                <w:rFonts w:ascii="Arial" w:cs="Arial" w:eastAsia="Arial" w:hAnsi="Arial"/>
                <w:sz w:val="18"/>
                <w:szCs w:val="18"/>
                <w:color w:val="auto"/>
              </w:rPr>
              <w:t>Operating expenses</w:t>
            </w:r>
          </w:p>
        </w:tc>
        <w:tc>
          <w:tcPr>
            <w:tcW w:w="3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(20.4)</w:t>
            </w:r>
          </w:p>
        </w:tc>
        <w:tc>
          <w:tcPr>
            <w:tcW w:w="240" w:type="dxa"/>
            <w:vAlign w:val="bottom"/>
            <w:shd w:val="clear" w:color="auto" w:fill="CCEEFF"/>
          </w:tcPr>
          <w:p>
            <w:pPr>
              <w:jc w:val="right"/>
              <w:ind w:right="50"/>
              <w:spacing w:after="0"/>
              <w:rPr>
                <w:sz w:val="20"/>
                <w:szCs w:val="20"/>
                <w:color w:val="auto"/>
              </w:rPr>
            </w:pPr>
            <w:r>
              <w:rPr>
                <w:rFonts w:ascii="Arial" w:cs="Arial" w:eastAsia="Arial" w:hAnsi="Arial"/>
                <w:sz w:val="18"/>
                <w:szCs w:val="18"/>
                <w:color w:val="auto"/>
                <w:w w:val="79"/>
              </w:rPr>
              <w:t>$</w:t>
            </w:r>
          </w:p>
        </w:tc>
        <w:tc>
          <w:tcPr>
            <w:tcW w:w="11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(25.7)</w:t>
            </w:r>
          </w:p>
        </w:tc>
        <w:tc>
          <w:tcPr>
            <w:tcW w:w="3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11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(10.6)</w:t>
            </w:r>
          </w:p>
        </w:tc>
        <w:tc>
          <w:tcPr>
            <w:tcW w:w="3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(9.9)</w:t>
            </w:r>
          </w:p>
        </w:tc>
        <w:tc>
          <w:tcPr>
            <w:tcW w:w="240" w:type="dxa"/>
            <w:vAlign w:val="bottom"/>
            <w:shd w:val="clear" w:color="auto" w:fill="CCEEFF"/>
          </w:tcPr>
          <w:p>
            <w:pPr>
              <w:jc w:val="right"/>
              <w:ind w:right="85"/>
              <w:spacing w:after="0"/>
              <w:rPr>
                <w:sz w:val="20"/>
                <w:szCs w:val="20"/>
                <w:color w:val="auto"/>
              </w:rPr>
            </w:pPr>
            <w:r>
              <w:rPr>
                <w:rFonts w:ascii="Arial" w:cs="Arial" w:eastAsia="Arial" w:hAnsi="Arial"/>
                <w:sz w:val="15"/>
                <w:szCs w:val="15"/>
                <w:color w:val="auto"/>
                <w:w w:val="71"/>
              </w:rPr>
              <w:t>$</w:t>
            </w:r>
          </w:p>
        </w:tc>
        <w:tc>
          <w:tcPr>
            <w:tcW w:w="11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(11.4)</w:t>
            </w:r>
          </w:p>
        </w:tc>
      </w:tr>
      <w:tr>
        <w:trPr>
          <w:trHeight w:val="216"/>
        </w:trPr>
        <w:tc>
          <w:tcPr>
            <w:tcW w:w="4120" w:type="dxa"/>
            <w:vAlign w:val="bottom"/>
          </w:tcPr>
          <w:p>
            <w:pPr>
              <w:spacing w:after="0"/>
              <w:rPr>
                <w:sz w:val="20"/>
                <w:szCs w:val="20"/>
                <w:color w:val="auto"/>
              </w:rPr>
            </w:pPr>
            <w:r>
              <w:rPr>
                <w:rFonts w:ascii="Arial" w:cs="Arial" w:eastAsia="Arial" w:hAnsi="Arial"/>
                <w:sz w:val="18"/>
                <w:szCs w:val="18"/>
                <w:color w:val="auto"/>
              </w:rPr>
              <w:t>Profit for the period</w:t>
            </w:r>
          </w:p>
        </w:tc>
        <w:tc>
          <w:tcPr>
            <w:tcW w:w="34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60"/>
              <w:spacing w:after="0"/>
              <w:rPr>
                <w:sz w:val="20"/>
                <w:szCs w:val="20"/>
                <w:color w:val="auto"/>
              </w:rPr>
            </w:pPr>
            <w:r>
              <w:rPr>
                <w:rFonts w:ascii="Arial" w:cs="Arial" w:eastAsia="Arial" w:hAnsi="Arial"/>
                <w:sz w:val="18"/>
                <w:szCs w:val="18"/>
                <w:color w:val="auto"/>
              </w:rPr>
              <w:t>43.5</w:t>
            </w:r>
          </w:p>
        </w:tc>
        <w:tc>
          <w:tcPr>
            <w:tcW w:w="240" w:type="dxa"/>
            <w:vAlign w:val="bottom"/>
          </w:tcPr>
          <w:p>
            <w:pPr>
              <w:jc w:val="right"/>
              <w:ind w:right="50"/>
              <w:spacing w:after="0"/>
              <w:rPr>
                <w:sz w:val="20"/>
                <w:szCs w:val="20"/>
                <w:color w:val="auto"/>
              </w:rPr>
            </w:pPr>
            <w:r>
              <w:rPr>
                <w:rFonts w:ascii="Arial" w:cs="Arial" w:eastAsia="Arial" w:hAnsi="Arial"/>
                <w:sz w:val="18"/>
                <w:szCs w:val="18"/>
                <w:color w:val="auto"/>
                <w:w w:val="79"/>
              </w:rPr>
              <w:t>$</w:t>
            </w:r>
          </w:p>
        </w:tc>
        <w:tc>
          <w:tcPr>
            <w:tcW w:w="1160" w:type="dxa"/>
            <w:vAlign w:val="bottom"/>
            <w:gridSpan w:val="2"/>
          </w:tcPr>
          <w:p>
            <w:pPr>
              <w:jc w:val="right"/>
              <w:ind w:right="200"/>
              <w:spacing w:after="0"/>
              <w:rPr>
                <w:sz w:val="20"/>
                <w:szCs w:val="20"/>
                <w:color w:val="auto"/>
              </w:rPr>
            </w:pPr>
            <w:r>
              <w:rPr>
                <w:rFonts w:ascii="Arial" w:cs="Arial" w:eastAsia="Arial" w:hAnsi="Arial"/>
                <w:sz w:val="18"/>
                <w:szCs w:val="18"/>
                <w:color w:val="auto"/>
              </w:rPr>
              <w:t>31.1</w:t>
            </w:r>
          </w:p>
        </w:tc>
        <w:tc>
          <w:tcPr>
            <w:tcW w:w="30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160" w:type="dxa"/>
            <w:vAlign w:val="bottom"/>
            <w:gridSpan w:val="2"/>
          </w:tcPr>
          <w:p>
            <w:pPr>
              <w:jc w:val="right"/>
              <w:ind w:right="200"/>
              <w:spacing w:after="0"/>
              <w:rPr>
                <w:sz w:val="20"/>
                <w:szCs w:val="20"/>
                <w:color w:val="auto"/>
              </w:rPr>
            </w:pPr>
            <w:r>
              <w:rPr>
                <w:rFonts w:ascii="Arial" w:cs="Arial" w:eastAsia="Arial" w:hAnsi="Arial"/>
                <w:sz w:val="18"/>
                <w:szCs w:val="18"/>
                <w:color w:val="auto"/>
              </w:rPr>
              <w:t>22.3</w:t>
            </w:r>
          </w:p>
        </w:tc>
        <w:tc>
          <w:tcPr>
            <w:tcW w:w="30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240" w:type="dxa"/>
            <w:vAlign w:val="bottom"/>
            <w:gridSpan w:val="2"/>
          </w:tcPr>
          <w:p>
            <w:pPr>
              <w:jc w:val="right"/>
              <w:ind w:right="280"/>
              <w:spacing w:after="0"/>
              <w:rPr>
                <w:sz w:val="20"/>
                <w:szCs w:val="20"/>
                <w:color w:val="auto"/>
              </w:rPr>
            </w:pPr>
            <w:r>
              <w:rPr>
                <w:rFonts w:ascii="Arial" w:cs="Arial" w:eastAsia="Arial" w:hAnsi="Arial"/>
                <w:sz w:val="18"/>
                <w:szCs w:val="18"/>
                <w:color w:val="auto"/>
              </w:rPr>
              <w:t>21.2</w:t>
            </w:r>
          </w:p>
        </w:tc>
        <w:tc>
          <w:tcPr>
            <w:tcW w:w="240" w:type="dxa"/>
            <w:vAlign w:val="bottom"/>
          </w:tcPr>
          <w:p>
            <w:pPr>
              <w:jc w:val="right"/>
              <w:ind w:right="85"/>
              <w:spacing w:after="0"/>
              <w:rPr>
                <w:sz w:val="20"/>
                <w:szCs w:val="20"/>
                <w:color w:val="auto"/>
              </w:rPr>
            </w:pPr>
            <w:r>
              <w:rPr>
                <w:rFonts w:ascii="Arial" w:cs="Arial" w:eastAsia="Arial" w:hAnsi="Arial"/>
                <w:sz w:val="15"/>
                <w:szCs w:val="15"/>
                <w:color w:val="auto"/>
                <w:w w:val="71"/>
              </w:rPr>
              <w:t>$</w:t>
            </w:r>
          </w:p>
        </w:tc>
        <w:tc>
          <w:tcPr>
            <w:tcW w:w="1120" w:type="dxa"/>
            <w:vAlign w:val="bottom"/>
            <w:gridSpan w:val="2"/>
          </w:tcPr>
          <w:p>
            <w:pPr>
              <w:jc w:val="right"/>
              <w:ind w:right="160"/>
              <w:spacing w:after="0"/>
              <w:rPr>
                <w:sz w:val="20"/>
                <w:szCs w:val="20"/>
                <w:color w:val="auto"/>
              </w:rPr>
            </w:pPr>
            <w:r>
              <w:rPr>
                <w:rFonts w:ascii="Arial" w:cs="Arial" w:eastAsia="Arial" w:hAnsi="Arial"/>
                <w:sz w:val="18"/>
                <w:szCs w:val="18"/>
                <w:color w:val="auto"/>
              </w:rPr>
              <w:t>16.6</w:t>
            </w:r>
          </w:p>
        </w:tc>
      </w:tr>
      <w:tr>
        <w:trPr>
          <w:trHeight w:val="216"/>
        </w:trPr>
        <w:tc>
          <w:tcPr>
            <w:tcW w:w="41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Profitability Ratios</w:t>
            </w:r>
          </w:p>
        </w:tc>
        <w:tc>
          <w:tcPr>
            <w:tcW w:w="1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r>
      <w:tr>
        <w:trPr>
          <w:trHeight w:val="257"/>
        </w:trPr>
        <w:tc>
          <w:tcPr>
            <w:tcW w:w="4120" w:type="dxa"/>
            <w:vAlign w:val="bottom"/>
          </w:tcPr>
          <w:p>
            <w:pPr>
              <w:spacing w:after="0" w:line="256" w:lineRule="exact"/>
              <w:rPr>
                <w:sz w:val="20"/>
                <w:szCs w:val="20"/>
                <w:color w:val="auto"/>
              </w:rPr>
            </w:pPr>
            <w:r>
              <w:rPr>
                <w:rFonts w:ascii="Arial" w:cs="Arial" w:eastAsia="Arial" w:hAnsi="Arial"/>
                <w:sz w:val="18"/>
                <w:szCs w:val="18"/>
                <w:color w:val="auto"/>
              </w:rPr>
              <w:t xml:space="preserve">Earnings per Share ("EPS") </w:t>
            </w:r>
            <w:r>
              <w:rPr>
                <w:rFonts w:ascii="Arial" w:cs="Arial" w:eastAsia="Arial" w:hAnsi="Arial"/>
                <w:sz w:val="29"/>
                <w:szCs w:val="29"/>
                <w:color w:val="auto"/>
                <w:vertAlign w:val="superscript"/>
              </w:rPr>
              <w:t>(1)</w:t>
            </w:r>
          </w:p>
        </w:tc>
        <w:tc>
          <w:tcPr>
            <w:tcW w:w="34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60"/>
              <w:spacing w:after="0"/>
              <w:rPr>
                <w:sz w:val="20"/>
                <w:szCs w:val="20"/>
                <w:color w:val="auto"/>
              </w:rPr>
            </w:pPr>
            <w:r>
              <w:rPr>
                <w:rFonts w:ascii="Arial" w:cs="Arial" w:eastAsia="Arial" w:hAnsi="Arial"/>
                <w:sz w:val="18"/>
                <w:szCs w:val="18"/>
                <w:color w:val="auto"/>
              </w:rPr>
              <w:t>1.10</w:t>
            </w:r>
          </w:p>
        </w:tc>
        <w:tc>
          <w:tcPr>
            <w:tcW w:w="240" w:type="dxa"/>
            <w:vAlign w:val="bottom"/>
          </w:tcPr>
          <w:p>
            <w:pPr>
              <w:jc w:val="right"/>
              <w:ind w:right="50"/>
              <w:spacing w:after="0"/>
              <w:rPr>
                <w:sz w:val="20"/>
                <w:szCs w:val="20"/>
                <w:color w:val="auto"/>
              </w:rPr>
            </w:pPr>
            <w:r>
              <w:rPr>
                <w:rFonts w:ascii="Arial" w:cs="Arial" w:eastAsia="Arial" w:hAnsi="Arial"/>
                <w:sz w:val="18"/>
                <w:szCs w:val="18"/>
                <w:color w:val="auto"/>
                <w:w w:val="79"/>
              </w:rPr>
              <w:t>$</w:t>
            </w:r>
          </w:p>
        </w:tc>
        <w:tc>
          <w:tcPr>
            <w:tcW w:w="1160" w:type="dxa"/>
            <w:vAlign w:val="bottom"/>
            <w:gridSpan w:val="2"/>
          </w:tcPr>
          <w:p>
            <w:pPr>
              <w:jc w:val="right"/>
              <w:ind w:right="200"/>
              <w:spacing w:after="0"/>
              <w:rPr>
                <w:sz w:val="20"/>
                <w:szCs w:val="20"/>
                <w:color w:val="auto"/>
              </w:rPr>
            </w:pPr>
            <w:r>
              <w:rPr>
                <w:rFonts w:ascii="Arial" w:cs="Arial" w:eastAsia="Arial" w:hAnsi="Arial"/>
                <w:sz w:val="18"/>
                <w:szCs w:val="18"/>
                <w:color w:val="auto"/>
              </w:rPr>
              <w:t>0.79</w:t>
            </w:r>
          </w:p>
        </w:tc>
        <w:tc>
          <w:tcPr>
            <w:tcW w:w="30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160" w:type="dxa"/>
            <w:vAlign w:val="bottom"/>
            <w:gridSpan w:val="2"/>
          </w:tcPr>
          <w:p>
            <w:pPr>
              <w:jc w:val="right"/>
              <w:ind w:right="200"/>
              <w:spacing w:after="0"/>
              <w:rPr>
                <w:sz w:val="20"/>
                <w:szCs w:val="20"/>
                <w:color w:val="auto"/>
              </w:rPr>
            </w:pPr>
            <w:r>
              <w:rPr>
                <w:rFonts w:ascii="Arial" w:cs="Arial" w:eastAsia="Arial" w:hAnsi="Arial"/>
                <w:sz w:val="18"/>
                <w:szCs w:val="18"/>
                <w:color w:val="auto"/>
              </w:rPr>
              <w:t>0.56</w:t>
            </w:r>
          </w:p>
        </w:tc>
        <w:tc>
          <w:tcPr>
            <w:tcW w:w="30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240" w:type="dxa"/>
            <w:vAlign w:val="bottom"/>
            <w:gridSpan w:val="2"/>
          </w:tcPr>
          <w:p>
            <w:pPr>
              <w:jc w:val="right"/>
              <w:ind w:right="280"/>
              <w:spacing w:after="0"/>
              <w:rPr>
                <w:sz w:val="20"/>
                <w:szCs w:val="20"/>
                <w:color w:val="auto"/>
              </w:rPr>
            </w:pPr>
            <w:r>
              <w:rPr>
                <w:rFonts w:ascii="Arial" w:cs="Arial" w:eastAsia="Arial" w:hAnsi="Arial"/>
                <w:sz w:val="18"/>
                <w:szCs w:val="18"/>
                <w:color w:val="auto"/>
              </w:rPr>
              <w:t>0.54</w:t>
            </w:r>
          </w:p>
        </w:tc>
        <w:tc>
          <w:tcPr>
            <w:tcW w:w="240" w:type="dxa"/>
            <w:vAlign w:val="bottom"/>
          </w:tcPr>
          <w:p>
            <w:pPr>
              <w:jc w:val="right"/>
              <w:ind w:right="85"/>
              <w:spacing w:after="0"/>
              <w:rPr>
                <w:sz w:val="20"/>
                <w:szCs w:val="20"/>
                <w:color w:val="auto"/>
              </w:rPr>
            </w:pPr>
            <w:r>
              <w:rPr>
                <w:rFonts w:ascii="Arial" w:cs="Arial" w:eastAsia="Arial" w:hAnsi="Arial"/>
                <w:sz w:val="15"/>
                <w:szCs w:val="15"/>
                <w:color w:val="auto"/>
                <w:w w:val="71"/>
              </w:rPr>
              <w:t>$</w:t>
            </w:r>
          </w:p>
        </w:tc>
        <w:tc>
          <w:tcPr>
            <w:tcW w:w="1120" w:type="dxa"/>
            <w:vAlign w:val="bottom"/>
            <w:gridSpan w:val="2"/>
          </w:tcPr>
          <w:p>
            <w:pPr>
              <w:jc w:val="right"/>
              <w:ind w:right="160"/>
              <w:spacing w:after="0"/>
              <w:rPr>
                <w:sz w:val="20"/>
                <w:szCs w:val="20"/>
                <w:color w:val="auto"/>
              </w:rPr>
            </w:pPr>
            <w:r>
              <w:rPr>
                <w:rFonts w:ascii="Arial" w:cs="Arial" w:eastAsia="Arial" w:hAnsi="Arial"/>
                <w:sz w:val="18"/>
                <w:szCs w:val="18"/>
                <w:color w:val="auto"/>
              </w:rPr>
              <w:t>0.42</w:t>
            </w:r>
          </w:p>
        </w:tc>
      </w:tr>
      <w:tr>
        <w:trPr>
          <w:trHeight w:val="257"/>
        </w:trPr>
        <w:tc>
          <w:tcPr>
            <w:tcW w:w="412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Return on Average Equity (“ROAE”) </w:t>
            </w:r>
            <w:r>
              <w:rPr>
                <w:rFonts w:ascii="Arial" w:cs="Arial" w:eastAsia="Arial" w:hAnsi="Arial"/>
                <w:sz w:val="29"/>
                <w:szCs w:val="29"/>
                <w:color w:val="auto"/>
                <w:vertAlign w:val="superscript"/>
              </w:rPr>
              <w:t>(2)</w:t>
            </w:r>
          </w:p>
        </w:tc>
        <w:tc>
          <w:tcPr>
            <w:tcW w:w="100" w:type="dxa"/>
            <w:vAlign w:val="bottom"/>
            <w:shd w:val="clear" w:color="auto" w:fill="CCEEFF"/>
          </w:tcPr>
          <w:p>
            <w:pPr>
              <w:spacing w:after="0"/>
              <w:rPr>
                <w:sz w:val="22"/>
                <w:szCs w:val="22"/>
                <w:color w:val="auto"/>
              </w:rPr>
            </w:pPr>
          </w:p>
        </w:tc>
        <w:tc>
          <w:tcPr>
            <w:tcW w:w="240" w:type="dxa"/>
            <w:vAlign w:val="bottom"/>
            <w:shd w:val="clear" w:color="auto" w:fill="CCEEFF"/>
          </w:tcPr>
          <w:p>
            <w:pPr>
              <w:spacing w:after="0"/>
              <w:rPr>
                <w:sz w:val="22"/>
                <w:szCs w:val="22"/>
                <w:color w:val="auto"/>
              </w:rPr>
            </w:pPr>
          </w:p>
        </w:tc>
        <w:tc>
          <w:tcPr>
            <w:tcW w:w="12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8.8%</w:t>
            </w:r>
          </w:p>
        </w:tc>
        <w:tc>
          <w:tcPr>
            <w:tcW w:w="240" w:type="dxa"/>
            <w:vAlign w:val="bottom"/>
            <w:shd w:val="clear" w:color="auto" w:fill="CCEEFF"/>
          </w:tcPr>
          <w:p>
            <w:pPr>
              <w:spacing w:after="0"/>
              <w:rPr>
                <w:sz w:val="22"/>
                <w:szCs w:val="22"/>
                <w:color w:val="auto"/>
              </w:rPr>
            </w:pPr>
          </w:p>
        </w:tc>
        <w:tc>
          <w:tcPr>
            <w:tcW w:w="11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6.0%</w:t>
            </w:r>
          </w:p>
        </w:tc>
        <w:tc>
          <w:tcPr>
            <w:tcW w:w="60" w:type="dxa"/>
            <w:vAlign w:val="bottom"/>
            <w:shd w:val="clear" w:color="auto" w:fill="CCEEFF"/>
          </w:tcPr>
          <w:p>
            <w:pPr>
              <w:spacing w:after="0"/>
              <w:rPr>
                <w:sz w:val="22"/>
                <w:szCs w:val="22"/>
                <w:color w:val="auto"/>
              </w:rPr>
            </w:pPr>
          </w:p>
        </w:tc>
        <w:tc>
          <w:tcPr>
            <w:tcW w:w="240" w:type="dxa"/>
            <w:vAlign w:val="bottom"/>
            <w:shd w:val="clear" w:color="auto" w:fill="CCEEFF"/>
          </w:tcPr>
          <w:p>
            <w:pPr>
              <w:spacing w:after="0"/>
              <w:rPr>
                <w:sz w:val="22"/>
                <w:szCs w:val="22"/>
                <w:color w:val="auto"/>
              </w:rPr>
            </w:pPr>
          </w:p>
        </w:tc>
        <w:tc>
          <w:tcPr>
            <w:tcW w:w="11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9.0%</w:t>
            </w:r>
          </w:p>
        </w:tc>
        <w:tc>
          <w:tcPr>
            <w:tcW w:w="60" w:type="dxa"/>
            <w:vAlign w:val="bottom"/>
            <w:shd w:val="clear" w:color="auto" w:fill="CCEEFF"/>
          </w:tcPr>
          <w:p>
            <w:pPr>
              <w:spacing w:after="0"/>
              <w:rPr>
                <w:sz w:val="22"/>
                <w:szCs w:val="22"/>
                <w:color w:val="auto"/>
              </w:rPr>
            </w:pPr>
          </w:p>
        </w:tc>
        <w:tc>
          <w:tcPr>
            <w:tcW w:w="240" w:type="dxa"/>
            <w:vAlign w:val="bottom"/>
            <w:shd w:val="clear" w:color="auto" w:fill="CCEEFF"/>
          </w:tcPr>
          <w:p>
            <w:pPr>
              <w:spacing w:after="0"/>
              <w:rPr>
                <w:sz w:val="22"/>
                <w:szCs w:val="22"/>
                <w:color w:val="auto"/>
              </w:rPr>
            </w:pPr>
          </w:p>
        </w:tc>
        <w:tc>
          <w:tcPr>
            <w:tcW w:w="12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8.6%</w:t>
            </w:r>
          </w:p>
        </w:tc>
        <w:tc>
          <w:tcPr>
            <w:tcW w:w="240" w:type="dxa"/>
            <w:vAlign w:val="bottom"/>
            <w:shd w:val="clear" w:color="auto" w:fill="CCEEFF"/>
          </w:tcPr>
          <w:p>
            <w:pPr>
              <w:spacing w:after="0"/>
              <w:rPr>
                <w:sz w:val="22"/>
                <w:szCs w:val="22"/>
                <w:color w:val="auto"/>
              </w:rPr>
            </w:pPr>
          </w:p>
        </w:tc>
        <w:tc>
          <w:tcPr>
            <w:tcW w:w="11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6.4%</w:t>
            </w:r>
          </w:p>
        </w:tc>
      </w:tr>
      <w:tr>
        <w:trPr>
          <w:trHeight w:val="216"/>
        </w:trPr>
        <w:tc>
          <w:tcPr>
            <w:tcW w:w="4120" w:type="dxa"/>
            <w:vAlign w:val="bottom"/>
          </w:tcPr>
          <w:p>
            <w:pPr>
              <w:spacing w:after="0"/>
              <w:rPr>
                <w:sz w:val="20"/>
                <w:szCs w:val="20"/>
                <w:color w:val="auto"/>
              </w:rPr>
            </w:pPr>
            <w:r>
              <w:rPr>
                <w:rFonts w:ascii="Arial" w:cs="Arial" w:eastAsia="Arial" w:hAnsi="Arial"/>
                <w:sz w:val="18"/>
                <w:szCs w:val="18"/>
                <w:color w:val="auto"/>
              </w:rPr>
              <w:t>Return on Average Assets (“ROAA”)</w:t>
            </w:r>
          </w:p>
        </w:tc>
        <w:tc>
          <w:tcPr>
            <w:tcW w:w="1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00" w:type="dxa"/>
            <w:vAlign w:val="bottom"/>
            <w:gridSpan w:val="2"/>
          </w:tcPr>
          <w:p>
            <w:pPr>
              <w:jc w:val="right"/>
              <w:ind w:right="120"/>
              <w:spacing w:after="0"/>
              <w:rPr>
                <w:sz w:val="20"/>
                <w:szCs w:val="20"/>
                <w:color w:val="auto"/>
              </w:rPr>
            </w:pPr>
            <w:r>
              <w:rPr>
                <w:rFonts w:ascii="Arial" w:cs="Arial" w:eastAsia="Arial" w:hAnsi="Arial"/>
                <w:sz w:val="18"/>
                <w:szCs w:val="18"/>
                <w:color w:val="auto"/>
              </w:rPr>
              <w:t>1.37%</w:t>
            </w:r>
          </w:p>
        </w:tc>
        <w:tc>
          <w:tcPr>
            <w:tcW w:w="240" w:type="dxa"/>
            <w:vAlign w:val="bottom"/>
          </w:tcPr>
          <w:p>
            <w:pPr>
              <w:spacing w:after="0"/>
              <w:rPr>
                <w:sz w:val="18"/>
                <w:szCs w:val="18"/>
                <w:color w:val="auto"/>
              </w:rPr>
            </w:pPr>
          </w:p>
        </w:tc>
        <w:tc>
          <w:tcPr>
            <w:tcW w:w="1160" w:type="dxa"/>
            <w:vAlign w:val="bottom"/>
            <w:gridSpan w:val="2"/>
          </w:tcPr>
          <w:p>
            <w:pPr>
              <w:jc w:val="right"/>
              <w:ind w:right="60"/>
              <w:spacing w:after="0"/>
              <w:rPr>
                <w:sz w:val="20"/>
                <w:szCs w:val="20"/>
                <w:color w:val="auto"/>
              </w:rPr>
            </w:pPr>
            <w:r>
              <w:rPr>
                <w:rFonts w:ascii="Arial" w:cs="Arial" w:eastAsia="Arial" w:hAnsi="Arial"/>
                <w:sz w:val="18"/>
                <w:szCs w:val="18"/>
                <w:color w:val="auto"/>
              </w:rPr>
              <w:t>0.99%</w:t>
            </w:r>
          </w:p>
        </w:tc>
        <w:tc>
          <w:tcPr>
            <w:tcW w:w="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160" w:type="dxa"/>
            <w:vAlign w:val="bottom"/>
            <w:gridSpan w:val="2"/>
          </w:tcPr>
          <w:p>
            <w:pPr>
              <w:jc w:val="right"/>
              <w:ind w:right="60"/>
              <w:spacing w:after="0"/>
              <w:rPr>
                <w:sz w:val="20"/>
                <w:szCs w:val="20"/>
                <w:color w:val="auto"/>
              </w:rPr>
            </w:pPr>
            <w:r>
              <w:rPr>
                <w:rFonts w:ascii="Arial" w:cs="Arial" w:eastAsia="Arial" w:hAnsi="Arial"/>
                <w:sz w:val="18"/>
                <w:szCs w:val="18"/>
                <w:color w:val="auto"/>
              </w:rPr>
              <w:t>1.43%</w:t>
            </w:r>
          </w:p>
        </w:tc>
        <w:tc>
          <w:tcPr>
            <w:tcW w:w="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40" w:type="dxa"/>
            <w:vAlign w:val="bottom"/>
            <w:gridSpan w:val="2"/>
          </w:tcPr>
          <w:p>
            <w:pPr>
              <w:jc w:val="right"/>
              <w:ind w:right="120"/>
              <w:spacing w:after="0"/>
              <w:rPr>
                <w:sz w:val="20"/>
                <w:szCs w:val="20"/>
                <w:color w:val="auto"/>
              </w:rPr>
            </w:pPr>
            <w:r>
              <w:rPr>
                <w:rFonts w:ascii="Arial" w:cs="Arial" w:eastAsia="Arial" w:hAnsi="Arial"/>
                <w:sz w:val="18"/>
                <w:szCs w:val="18"/>
                <w:color w:val="auto"/>
              </w:rPr>
              <w:t>1.31%</w:t>
            </w:r>
          </w:p>
        </w:tc>
        <w:tc>
          <w:tcPr>
            <w:tcW w:w="240" w:type="dxa"/>
            <w:vAlign w:val="bottom"/>
          </w:tcPr>
          <w:p>
            <w:pPr>
              <w:spacing w:after="0"/>
              <w:rPr>
                <w:sz w:val="18"/>
                <w:szCs w:val="18"/>
                <w:color w:val="auto"/>
              </w:rPr>
            </w:pPr>
          </w:p>
        </w:tc>
        <w:tc>
          <w:tcPr>
            <w:tcW w:w="1120" w:type="dxa"/>
            <w:vAlign w:val="bottom"/>
            <w:gridSpan w:val="2"/>
          </w:tcPr>
          <w:p>
            <w:pPr>
              <w:jc w:val="right"/>
              <w:ind w:right="20"/>
              <w:spacing w:after="0"/>
              <w:rPr>
                <w:sz w:val="20"/>
                <w:szCs w:val="20"/>
                <w:color w:val="auto"/>
              </w:rPr>
            </w:pPr>
            <w:r>
              <w:rPr>
                <w:rFonts w:ascii="Arial" w:cs="Arial" w:eastAsia="Arial" w:hAnsi="Arial"/>
                <w:sz w:val="18"/>
                <w:szCs w:val="18"/>
                <w:color w:val="auto"/>
              </w:rPr>
              <w:t>1.07%</w:t>
            </w:r>
          </w:p>
        </w:tc>
      </w:tr>
      <w:tr>
        <w:trPr>
          <w:trHeight w:val="257"/>
        </w:trPr>
        <w:tc>
          <w:tcPr>
            <w:tcW w:w="412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Net Interest Margin ("NIM") </w:t>
            </w:r>
            <w:r>
              <w:rPr>
                <w:rFonts w:ascii="Arial" w:cs="Arial" w:eastAsia="Arial" w:hAnsi="Arial"/>
                <w:sz w:val="29"/>
                <w:szCs w:val="29"/>
                <w:color w:val="auto"/>
                <w:vertAlign w:val="superscript"/>
              </w:rPr>
              <w:t>(3)</w:t>
            </w:r>
          </w:p>
        </w:tc>
        <w:tc>
          <w:tcPr>
            <w:tcW w:w="100" w:type="dxa"/>
            <w:vAlign w:val="bottom"/>
            <w:shd w:val="clear" w:color="auto" w:fill="CCEEFF"/>
          </w:tcPr>
          <w:p>
            <w:pPr>
              <w:spacing w:after="0"/>
              <w:rPr>
                <w:sz w:val="22"/>
                <w:szCs w:val="22"/>
                <w:color w:val="auto"/>
              </w:rPr>
            </w:pPr>
          </w:p>
        </w:tc>
        <w:tc>
          <w:tcPr>
            <w:tcW w:w="240" w:type="dxa"/>
            <w:vAlign w:val="bottom"/>
            <w:shd w:val="clear" w:color="auto" w:fill="CCEEFF"/>
          </w:tcPr>
          <w:p>
            <w:pPr>
              <w:spacing w:after="0"/>
              <w:rPr>
                <w:sz w:val="22"/>
                <w:szCs w:val="22"/>
                <w:color w:val="auto"/>
              </w:rPr>
            </w:pPr>
          </w:p>
        </w:tc>
        <w:tc>
          <w:tcPr>
            <w:tcW w:w="12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1.77%</w:t>
            </w:r>
          </w:p>
        </w:tc>
        <w:tc>
          <w:tcPr>
            <w:tcW w:w="240" w:type="dxa"/>
            <w:vAlign w:val="bottom"/>
            <w:shd w:val="clear" w:color="auto" w:fill="CCEEFF"/>
          </w:tcPr>
          <w:p>
            <w:pPr>
              <w:spacing w:after="0"/>
              <w:rPr>
                <w:sz w:val="22"/>
                <w:szCs w:val="22"/>
                <w:color w:val="auto"/>
              </w:rPr>
            </w:pPr>
          </w:p>
        </w:tc>
        <w:tc>
          <w:tcPr>
            <w:tcW w:w="11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1.75%</w:t>
            </w:r>
          </w:p>
        </w:tc>
        <w:tc>
          <w:tcPr>
            <w:tcW w:w="60" w:type="dxa"/>
            <w:vAlign w:val="bottom"/>
            <w:shd w:val="clear" w:color="auto" w:fill="CCEEFF"/>
          </w:tcPr>
          <w:p>
            <w:pPr>
              <w:spacing w:after="0"/>
              <w:rPr>
                <w:sz w:val="22"/>
                <w:szCs w:val="22"/>
                <w:color w:val="auto"/>
              </w:rPr>
            </w:pPr>
          </w:p>
        </w:tc>
        <w:tc>
          <w:tcPr>
            <w:tcW w:w="240" w:type="dxa"/>
            <w:vAlign w:val="bottom"/>
            <w:shd w:val="clear" w:color="auto" w:fill="CCEEFF"/>
          </w:tcPr>
          <w:p>
            <w:pPr>
              <w:spacing w:after="0"/>
              <w:rPr>
                <w:sz w:val="22"/>
                <w:szCs w:val="22"/>
                <w:color w:val="auto"/>
              </w:rPr>
            </w:pPr>
          </w:p>
        </w:tc>
        <w:tc>
          <w:tcPr>
            <w:tcW w:w="11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1.81%</w:t>
            </w:r>
          </w:p>
        </w:tc>
        <w:tc>
          <w:tcPr>
            <w:tcW w:w="60" w:type="dxa"/>
            <w:vAlign w:val="bottom"/>
            <w:shd w:val="clear" w:color="auto" w:fill="CCEEFF"/>
          </w:tcPr>
          <w:p>
            <w:pPr>
              <w:spacing w:after="0"/>
              <w:rPr>
                <w:sz w:val="22"/>
                <w:szCs w:val="22"/>
                <w:color w:val="auto"/>
              </w:rPr>
            </w:pPr>
          </w:p>
        </w:tc>
        <w:tc>
          <w:tcPr>
            <w:tcW w:w="240" w:type="dxa"/>
            <w:vAlign w:val="bottom"/>
            <w:shd w:val="clear" w:color="auto" w:fill="CCEEFF"/>
          </w:tcPr>
          <w:p>
            <w:pPr>
              <w:spacing w:after="0"/>
              <w:rPr>
                <w:sz w:val="22"/>
                <w:szCs w:val="22"/>
                <w:color w:val="auto"/>
              </w:rPr>
            </w:pPr>
          </w:p>
        </w:tc>
        <w:tc>
          <w:tcPr>
            <w:tcW w:w="12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1.74%</w:t>
            </w:r>
          </w:p>
        </w:tc>
        <w:tc>
          <w:tcPr>
            <w:tcW w:w="240" w:type="dxa"/>
            <w:vAlign w:val="bottom"/>
            <w:shd w:val="clear" w:color="auto" w:fill="CCEEFF"/>
          </w:tcPr>
          <w:p>
            <w:pPr>
              <w:spacing w:after="0"/>
              <w:rPr>
                <w:sz w:val="22"/>
                <w:szCs w:val="22"/>
                <w:color w:val="auto"/>
              </w:rPr>
            </w:pPr>
          </w:p>
        </w:tc>
        <w:tc>
          <w:tcPr>
            <w:tcW w:w="11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1.81%</w:t>
            </w:r>
          </w:p>
        </w:tc>
      </w:tr>
      <w:tr>
        <w:trPr>
          <w:trHeight w:val="257"/>
        </w:trPr>
        <w:tc>
          <w:tcPr>
            <w:tcW w:w="4120" w:type="dxa"/>
            <w:vAlign w:val="bottom"/>
          </w:tcPr>
          <w:p>
            <w:pPr>
              <w:spacing w:after="0" w:line="256" w:lineRule="exact"/>
              <w:rPr>
                <w:sz w:val="20"/>
                <w:szCs w:val="20"/>
                <w:color w:val="auto"/>
              </w:rPr>
            </w:pPr>
            <w:r>
              <w:rPr>
                <w:rFonts w:ascii="Arial" w:cs="Arial" w:eastAsia="Arial" w:hAnsi="Arial"/>
                <w:sz w:val="18"/>
                <w:szCs w:val="18"/>
                <w:color w:val="auto"/>
              </w:rPr>
              <w:t xml:space="preserve">Net Interest Spread ("NIS") </w:t>
            </w:r>
            <w:r>
              <w:rPr>
                <w:rFonts w:ascii="Arial" w:cs="Arial" w:eastAsia="Arial" w:hAnsi="Arial"/>
                <w:sz w:val="29"/>
                <w:szCs w:val="29"/>
                <w:color w:val="auto"/>
                <w:vertAlign w:val="superscript"/>
              </w:rPr>
              <w:t>(4)</w:t>
            </w:r>
          </w:p>
        </w:tc>
        <w:tc>
          <w:tcPr>
            <w:tcW w:w="100" w:type="dxa"/>
            <w:vAlign w:val="bottom"/>
          </w:tcPr>
          <w:p>
            <w:pPr>
              <w:spacing w:after="0"/>
              <w:rPr>
                <w:sz w:val="22"/>
                <w:szCs w:val="22"/>
                <w:color w:val="auto"/>
              </w:rPr>
            </w:pPr>
          </w:p>
        </w:tc>
        <w:tc>
          <w:tcPr>
            <w:tcW w:w="240" w:type="dxa"/>
            <w:vAlign w:val="bottom"/>
          </w:tcPr>
          <w:p>
            <w:pPr>
              <w:spacing w:after="0"/>
              <w:rPr>
                <w:sz w:val="22"/>
                <w:szCs w:val="22"/>
                <w:color w:val="auto"/>
              </w:rPr>
            </w:pPr>
          </w:p>
        </w:tc>
        <w:tc>
          <w:tcPr>
            <w:tcW w:w="1200" w:type="dxa"/>
            <w:vAlign w:val="bottom"/>
            <w:gridSpan w:val="2"/>
          </w:tcPr>
          <w:p>
            <w:pPr>
              <w:jc w:val="right"/>
              <w:ind w:right="120"/>
              <w:spacing w:after="0"/>
              <w:rPr>
                <w:sz w:val="20"/>
                <w:szCs w:val="20"/>
                <w:color w:val="auto"/>
              </w:rPr>
            </w:pPr>
            <w:r>
              <w:rPr>
                <w:rFonts w:ascii="Arial" w:cs="Arial" w:eastAsia="Arial" w:hAnsi="Arial"/>
                <w:sz w:val="18"/>
                <w:szCs w:val="18"/>
                <w:color w:val="auto"/>
              </w:rPr>
              <w:t>1.19%</w:t>
            </w:r>
          </w:p>
        </w:tc>
        <w:tc>
          <w:tcPr>
            <w:tcW w:w="240" w:type="dxa"/>
            <w:vAlign w:val="bottom"/>
          </w:tcPr>
          <w:p>
            <w:pPr>
              <w:spacing w:after="0"/>
              <w:rPr>
                <w:sz w:val="22"/>
                <w:szCs w:val="22"/>
                <w:color w:val="auto"/>
              </w:rPr>
            </w:pPr>
          </w:p>
        </w:tc>
        <w:tc>
          <w:tcPr>
            <w:tcW w:w="1160" w:type="dxa"/>
            <w:vAlign w:val="bottom"/>
            <w:gridSpan w:val="2"/>
          </w:tcPr>
          <w:p>
            <w:pPr>
              <w:jc w:val="right"/>
              <w:ind w:right="60"/>
              <w:spacing w:after="0"/>
              <w:rPr>
                <w:sz w:val="20"/>
                <w:szCs w:val="20"/>
                <w:color w:val="auto"/>
              </w:rPr>
            </w:pPr>
            <w:r>
              <w:rPr>
                <w:rFonts w:ascii="Arial" w:cs="Arial" w:eastAsia="Arial" w:hAnsi="Arial"/>
                <w:sz w:val="18"/>
                <w:szCs w:val="18"/>
                <w:color w:val="auto"/>
              </w:rPr>
              <w:t>1.29%</w:t>
            </w:r>
          </w:p>
        </w:tc>
        <w:tc>
          <w:tcPr>
            <w:tcW w:w="60" w:type="dxa"/>
            <w:vAlign w:val="bottom"/>
          </w:tcPr>
          <w:p>
            <w:pPr>
              <w:spacing w:after="0"/>
              <w:rPr>
                <w:sz w:val="22"/>
                <w:szCs w:val="22"/>
                <w:color w:val="auto"/>
              </w:rPr>
            </w:pPr>
          </w:p>
        </w:tc>
        <w:tc>
          <w:tcPr>
            <w:tcW w:w="240" w:type="dxa"/>
            <w:vAlign w:val="bottom"/>
          </w:tcPr>
          <w:p>
            <w:pPr>
              <w:spacing w:after="0"/>
              <w:rPr>
                <w:sz w:val="22"/>
                <w:szCs w:val="22"/>
                <w:color w:val="auto"/>
              </w:rPr>
            </w:pPr>
          </w:p>
        </w:tc>
        <w:tc>
          <w:tcPr>
            <w:tcW w:w="1160" w:type="dxa"/>
            <w:vAlign w:val="bottom"/>
            <w:gridSpan w:val="2"/>
          </w:tcPr>
          <w:p>
            <w:pPr>
              <w:jc w:val="right"/>
              <w:ind w:right="60"/>
              <w:spacing w:after="0"/>
              <w:rPr>
                <w:sz w:val="20"/>
                <w:szCs w:val="20"/>
                <w:color w:val="auto"/>
              </w:rPr>
            </w:pPr>
            <w:r>
              <w:rPr>
                <w:rFonts w:ascii="Arial" w:cs="Arial" w:eastAsia="Arial" w:hAnsi="Arial"/>
                <w:sz w:val="18"/>
                <w:szCs w:val="18"/>
                <w:color w:val="auto"/>
              </w:rPr>
              <w:t>1.22%</w:t>
            </w:r>
          </w:p>
        </w:tc>
        <w:tc>
          <w:tcPr>
            <w:tcW w:w="60" w:type="dxa"/>
            <w:vAlign w:val="bottom"/>
          </w:tcPr>
          <w:p>
            <w:pPr>
              <w:spacing w:after="0"/>
              <w:rPr>
                <w:sz w:val="22"/>
                <w:szCs w:val="22"/>
                <w:color w:val="auto"/>
              </w:rPr>
            </w:pPr>
          </w:p>
        </w:tc>
        <w:tc>
          <w:tcPr>
            <w:tcW w:w="240" w:type="dxa"/>
            <w:vAlign w:val="bottom"/>
          </w:tcPr>
          <w:p>
            <w:pPr>
              <w:spacing w:after="0"/>
              <w:rPr>
                <w:sz w:val="22"/>
                <w:szCs w:val="22"/>
                <w:color w:val="auto"/>
              </w:rPr>
            </w:pPr>
          </w:p>
        </w:tc>
        <w:tc>
          <w:tcPr>
            <w:tcW w:w="1240" w:type="dxa"/>
            <w:vAlign w:val="bottom"/>
            <w:gridSpan w:val="2"/>
          </w:tcPr>
          <w:p>
            <w:pPr>
              <w:jc w:val="right"/>
              <w:ind w:right="120"/>
              <w:spacing w:after="0"/>
              <w:rPr>
                <w:sz w:val="20"/>
                <w:szCs w:val="20"/>
                <w:color w:val="auto"/>
              </w:rPr>
            </w:pPr>
            <w:r>
              <w:rPr>
                <w:rFonts w:ascii="Arial" w:cs="Arial" w:eastAsia="Arial" w:hAnsi="Arial"/>
                <w:sz w:val="18"/>
                <w:szCs w:val="18"/>
                <w:color w:val="auto"/>
              </w:rPr>
              <w:t>1.16%</w:t>
            </w:r>
          </w:p>
        </w:tc>
        <w:tc>
          <w:tcPr>
            <w:tcW w:w="240" w:type="dxa"/>
            <w:vAlign w:val="bottom"/>
          </w:tcPr>
          <w:p>
            <w:pPr>
              <w:spacing w:after="0"/>
              <w:rPr>
                <w:sz w:val="22"/>
                <w:szCs w:val="22"/>
                <w:color w:val="auto"/>
              </w:rPr>
            </w:pPr>
          </w:p>
        </w:tc>
        <w:tc>
          <w:tcPr>
            <w:tcW w:w="1120" w:type="dxa"/>
            <w:vAlign w:val="bottom"/>
            <w:gridSpan w:val="2"/>
          </w:tcPr>
          <w:p>
            <w:pPr>
              <w:jc w:val="right"/>
              <w:ind w:right="20"/>
              <w:spacing w:after="0"/>
              <w:rPr>
                <w:sz w:val="20"/>
                <w:szCs w:val="20"/>
                <w:color w:val="auto"/>
              </w:rPr>
            </w:pPr>
            <w:r>
              <w:rPr>
                <w:rFonts w:ascii="Arial" w:cs="Arial" w:eastAsia="Arial" w:hAnsi="Arial"/>
                <w:sz w:val="18"/>
                <w:szCs w:val="18"/>
                <w:color w:val="auto"/>
              </w:rPr>
              <w:t>1.31%</w:t>
            </w:r>
          </w:p>
        </w:tc>
      </w:tr>
      <w:tr>
        <w:trPr>
          <w:trHeight w:val="257"/>
        </w:trPr>
        <w:tc>
          <w:tcPr>
            <w:tcW w:w="412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Efficiency Ratio </w:t>
            </w:r>
            <w:r>
              <w:rPr>
                <w:rFonts w:ascii="Arial" w:cs="Arial" w:eastAsia="Arial" w:hAnsi="Arial"/>
                <w:sz w:val="29"/>
                <w:szCs w:val="29"/>
                <w:color w:val="auto"/>
                <w:vertAlign w:val="superscript"/>
              </w:rPr>
              <w:t>(5)</w:t>
            </w:r>
          </w:p>
        </w:tc>
        <w:tc>
          <w:tcPr>
            <w:tcW w:w="100" w:type="dxa"/>
            <w:vAlign w:val="bottom"/>
            <w:shd w:val="clear" w:color="auto" w:fill="CCEEFF"/>
          </w:tcPr>
          <w:p>
            <w:pPr>
              <w:spacing w:after="0"/>
              <w:rPr>
                <w:sz w:val="22"/>
                <w:szCs w:val="22"/>
                <w:color w:val="auto"/>
              </w:rPr>
            </w:pPr>
          </w:p>
        </w:tc>
        <w:tc>
          <w:tcPr>
            <w:tcW w:w="240" w:type="dxa"/>
            <w:vAlign w:val="bottom"/>
            <w:shd w:val="clear" w:color="auto" w:fill="CCEEFF"/>
          </w:tcPr>
          <w:p>
            <w:pPr>
              <w:spacing w:after="0"/>
              <w:rPr>
                <w:sz w:val="22"/>
                <w:szCs w:val="22"/>
                <w:color w:val="auto"/>
              </w:rPr>
            </w:pPr>
          </w:p>
        </w:tc>
        <w:tc>
          <w:tcPr>
            <w:tcW w:w="12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31.1%</w:t>
            </w:r>
          </w:p>
        </w:tc>
        <w:tc>
          <w:tcPr>
            <w:tcW w:w="240" w:type="dxa"/>
            <w:vAlign w:val="bottom"/>
            <w:shd w:val="clear" w:color="auto" w:fill="CCEEFF"/>
          </w:tcPr>
          <w:p>
            <w:pPr>
              <w:spacing w:after="0"/>
              <w:rPr>
                <w:sz w:val="22"/>
                <w:szCs w:val="22"/>
                <w:color w:val="auto"/>
              </w:rPr>
            </w:pPr>
          </w:p>
        </w:tc>
        <w:tc>
          <w:tcPr>
            <w:tcW w:w="11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40.5%</w:t>
            </w:r>
          </w:p>
        </w:tc>
        <w:tc>
          <w:tcPr>
            <w:tcW w:w="60" w:type="dxa"/>
            <w:vAlign w:val="bottom"/>
            <w:shd w:val="clear" w:color="auto" w:fill="CCEEFF"/>
          </w:tcPr>
          <w:p>
            <w:pPr>
              <w:spacing w:after="0"/>
              <w:rPr>
                <w:sz w:val="22"/>
                <w:szCs w:val="22"/>
                <w:color w:val="auto"/>
              </w:rPr>
            </w:pPr>
          </w:p>
        </w:tc>
        <w:tc>
          <w:tcPr>
            <w:tcW w:w="240" w:type="dxa"/>
            <w:vAlign w:val="bottom"/>
            <w:shd w:val="clear" w:color="auto" w:fill="CCEEFF"/>
          </w:tcPr>
          <w:p>
            <w:pPr>
              <w:spacing w:after="0"/>
              <w:rPr>
                <w:sz w:val="22"/>
                <w:szCs w:val="22"/>
                <w:color w:val="auto"/>
              </w:rPr>
            </w:pPr>
          </w:p>
        </w:tc>
        <w:tc>
          <w:tcPr>
            <w:tcW w:w="11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31.4%</w:t>
            </w:r>
          </w:p>
        </w:tc>
        <w:tc>
          <w:tcPr>
            <w:tcW w:w="60" w:type="dxa"/>
            <w:vAlign w:val="bottom"/>
            <w:shd w:val="clear" w:color="auto" w:fill="CCEEFF"/>
          </w:tcPr>
          <w:p>
            <w:pPr>
              <w:spacing w:after="0"/>
              <w:rPr>
                <w:sz w:val="22"/>
                <w:szCs w:val="22"/>
                <w:color w:val="auto"/>
              </w:rPr>
            </w:pPr>
          </w:p>
        </w:tc>
        <w:tc>
          <w:tcPr>
            <w:tcW w:w="240" w:type="dxa"/>
            <w:vAlign w:val="bottom"/>
            <w:shd w:val="clear" w:color="auto" w:fill="CCEEFF"/>
          </w:tcPr>
          <w:p>
            <w:pPr>
              <w:spacing w:after="0"/>
              <w:rPr>
                <w:sz w:val="22"/>
                <w:szCs w:val="22"/>
                <w:color w:val="auto"/>
              </w:rPr>
            </w:pPr>
          </w:p>
        </w:tc>
        <w:tc>
          <w:tcPr>
            <w:tcW w:w="12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30.8%</w:t>
            </w:r>
          </w:p>
        </w:tc>
        <w:tc>
          <w:tcPr>
            <w:tcW w:w="240" w:type="dxa"/>
            <w:vAlign w:val="bottom"/>
            <w:shd w:val="clear" w:color="auto" w:fill="CCEEFF"/>
          </w:tcPr>
          <w:p>
            <w:pPr>
              <w:spacing w:after="0"/>
              <w:rPr>
                <w:sz w:val="22"/>
                <w:szCs w:val="22"/>
                <w:color w:val="auto"/>
              </w:rPr>
            </w:pPr>
          </w:p>
        </w:tc>
        <w:tc>
          <w:tcPr>
            <w:tcW w:w="11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34.8%</w:t>
            </w:r>
          </w:p>
        </w:tc>
      </w:tr>
      <w:tr>
        <w:trPr>
          <w:trHeight w:val="216"/>
        </w:trPr>
        <w:tc>
          <w:tcPr>
            <w:tcW w:w="4120" w:type="dxa"/>
            <w:vAlign w:val="bottom"/>
          </w:tcPr>
          <w:p>
            <w:pPr>
              <w:spacing w:after="0"/>
              <w:rPr>
                <w:sz w:val="20"/>
                <w:szCs w:val="20"/>
                <w:color w:val="auto"/>
              </w:rPr>
            </w:pPr>
            <w:r>
              <w:rPr>
                <w:rFonts w:ascii="Arial" w:cs="Arial" w:eastAsia="Arial" w:hAnsi="Arial"/>
                <w:sz w:val="18"/>
                <w:szCs w:val="18"/>
                <w:b w:val="1"/>
                <w:bCs w:val="1"/>
                <w:color w:val="auto"/>
              </w:rPr>
              <w:t>Assets, Capital, Liquidity &amp; Credit Quality</w:t>
            </w:r>
          </w:p>
        </w:tc>
        <w:tc>
          <w:tcPr>
            <w:tcW w:w="1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60" w:type="dxa"/>
            <w:vAlign w:val="bottom"/>
          </w:tcPr>
          <w:p>
            <w:pPr>
              <w:spacing w:after="0"/>
              <w:rPr>
                <w:sz w:val="18"/>
                <w:szCs w:val="18"/>
                <w:color w:val="auto"/>
              </w:rPr>
            </w:pPr>
          </w:p>
        </w:tc>
      </w:tr>
      <w:tr>
        <w:trPr>
          <w:trHeight w:val="257"/>
        </w:trPr>
        <w:tc>
          <w:tcPr>
            <w:tcW w:w="412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Commercial Portfolio </w:t>
            </w:r>
            <w:r>
              <w:rPr>
                <w:rFonts w:ascii="Arial" w:cs="Arial" w:eastAsia="Arial" w:hAnsi="Arial"/>
                <w:sz w:val="29"/>
                <w:szCs w:val="29"/>
                <w:color w:val="auto"/>
                <w:vertAlign w:val="superscript"/>
              </w:rPr>
              <w:t>(6)</w:t>
            </w:r>
          </w:p>
        </w:tc>
        <w:tc>
          <w:tcPr>
            <w:tcW w:w="3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6,209</w:t>
            </w:r>
          </w:p>
        </w:tc>
        <w:tc>
          <w:tcPr>
            <w:tcW w:w="260" w:type="dxa"/>
            <w:vAlign w:val="bottom"/>
            <w:shd w:val="clear" w:color="auto" w:fill="CCEEFF"/>
          </w:tcPr>
          <w:p>
            <w:pPr>
              <w:spacing w:after="0"/>
              <w:rPr>
                <w:sz w:val="22"/>
                <w:szCs w:val="22"/>
                <w:color w:val="auto"/>
              </w:rPr>
            </w:pPr>
          </w:p>
        </w:tc>
        <w:tc>
          <w:tcPr>
            <w:tcW w:w="240" w:type="dxa"/>
            <w:vAlign w:val="bottom"/>
            <w:shd w:val="clear" w:color="auto" w:fill="CCEEFF"/>
          </w:tcPr>
          <w:p>
            <w:pPr>
              <w:jc w:val="right"/>
              <w:ind w:right="50"/>
              <w:spacing w:after="0"/>
              <w:rPr>
                <w:sz w:val="20"/>
                <w:szCs w:val="20"/>
                <w:color w:val="auto"/>
              </w:rPr>
            </w:pPr>
            <w:r>
              <w:rPr>
                <w:rFonts w:ascii="Arial" w:cs="Arial" w:eastAsia="Arial" w:hAnsi="Arial"/>
                <w:sz w:val="18"/>
                <w:szCs w:val="18"/>
                <w:color w:val="auto"/>
                <w:w w:val="79"/>
              </w:rPr>
              <w:t>$</w:t>
            </w:r>
          </w:p>
        </w:tc>
        <w:tc>
          <w:tcPr>
            <w:tcW w:w="11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6,054</w:t>
            </w:r>
          </w:p>
        </w:tc>
        <w:tc>
          <w:tcPr>
            <w:tcW w:w="3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11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6,209</w:t>
            </w:r>
          </w:p>
        </w:tc>
        <w:tc>
          <w:tcPr>
            <w:tcW w:w="3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6,006</w:t>
            </w:r>
          </w:p>
        </w:tc>
        <w:tc>
          <w:tcPr>
            <w:tcW w:w="280" w:type="dxa"/>
            <w:vAlign w:val="bottom"/>
            <w:shd w:val="clear" w:color="auto" w:fill="CCEEFF"/>
          </w:tcPr>
          <w:p>
            <w:pPr>
              <w:spacing w:after="0"/>
              <w:rPr>
                <w:sz w:val="22"/>
                <w:szCs w:val="22"/>
                <w:color w:val="auto"/>
              </w:rPr>
            </w:pPr>
          </w:p>
        </w:tc>
        <w:tc>
          <w:tcPr>
            <w:tcW w:w="240" w:type="dxa"/>
            <w:vAlign w:val="bottom"/>
            <w:shd w:val="clear" w:color="auto" w:fill="CCEEFF"/>
          </w:tcPr>
          <w:p>
            <w:pPr>
              <w:jc w:val="right"/>
              <w:ind w:right="85"/>
              <w:spacing w:after="0"/>
              <w:rPr>
                <w:sz w:val="20"/>
                <w:szCs w:val="20"/>
                <w:color w:val="auto"/>
              </w:rPr>
            </w:pPr>
            <w:r>
              <w:rPr>
                <w:rFonts w:ascii="Arial" w:cs="Arial" w:eastAsia="Arial" w:hAnsi="Arial"/>
                <w:sz w:val="15"/>
                <w:szCs w:val="15"/>
                <w:color w:val="auto"/>
                <w:w w:val="71"/>
              </w:rPr>
              <w:t>$</w:t>
            </w: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6,054</w:t>
            </w:r>
          </w:p>
        </w:tc>
      </w:tr>
      <w:tr>
        <w:trPr>
          <w:trHeight w:val="216"/>
        </w:trPr>
        <w:tc>
          <w:tcPr>
            <w:tcW w:w="4120" w:type="dxa"/>
            <w:vAlign w:val="bottom"/>
          </w:tcPr>
          <w:p>
            <w:pPr>
              <w:spacing w:after="0"/>
              <w:rPr>
                <w:sz w:val="20"/>
                <w:szCs w:val="20"/>
                <w:color w:val="auto"/>
              </w:rPr>
            </w:pPr>
            <w:r>
              <w:rPr>
                <w:rFonts w:ascii="Arial" w:cs="Arial" w:eastAsia="Arial" w:hAnsi="Arial"/>
                <w:sz w:val="18"/>
                <w:szCs w:val="18"/>
                <w:color w:val="auto"/>
              </w:rPr>
              <w:t>Investment Portfolio</w:t>
            </w:r>
          </w:p>
        </w:tc>
        <w:tc>
          <w:tcPr>
            <w:tcW w:w="34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940" w:type="dxa"/>
            <w:vAlign w:val="bottom"/>
          </w:tcPr>
          <w:p>
            <w:pPr>
              <w:jc w:val="right"/>
              <w:spacing w:after="0"/>
              <w:rPr>
                <w:sz w:val="20"/>
                <w:szCs w:val="20"/>
                <w:color w:val="auto"/>
              </w:rPr>
            </w:pPr>
            <w:r>
              <w:rPr>
                <w:rFonts w:ascii="Arial" w:cs="Arial" w:eastAsia="Arial" w:hAnsi="Arial"/>
                <w:sz w:val="18"/>
                <w:szCs w:val="18"/>
                <w:color w:val="auto"/>
              </w:rPr>
              <w:t>88</w:t>
            </w:r>
          </w:p>
        </w:tc>
        <w:tc>
          <w:tcPr>
            <w:tcW w:w="260" w:type="dxa"/>
            <w:vAlign w:val="bottom"/>
          </w:tcPr>
          <w:p>
            <w:pPr>
              <w:spacing w:after="0"/>
              <w:rPr>
                <w:sz w:val="18"/>
                <w:szCs w:val="18"/>
                <w:color w:val="auto"/>
              </w:rPr>
            </w:pPr>
          </w:p>
        </w:tc>
        <w:tc>
          <w:tcPr>
            <w:tcW w:w="240" w:type="dxa"/>
            <w:vAlign w:val="bottom"/>
          </w:tcPr>
          <w:p>
            <w:pPr>
              <w:jc w:val="right"/>
              <w:ind w:right="50"/>
              <w:spacing w:after="0"/>
              <w:rPr>
                <w:sz w:val="20"/>
                <w:szCs w:val="20"/>
                <w:color w:val="auto"/>
              </w:rPr>
            </w:pPr>
            <w:r>
              <w:rPr>
                <w:rFonts w:ascii="Arial" w:cs="Arial" w:eastAsia="Arial" w:hAnsi="Arial"/>
                <w:sz w:val="18"/>
                <w:szCs w:val="18"/>
                <w:color w:val="auto"/>
                <w:w w:val="79"/>
              </w:rPr>
              <w:t>$</w:t>
            </w:r>
          </w:p>
        </w:tc>
        <w:tc>
          <w:tcPr>
            <w:tcW w:w="1160" w:type="dxa"/>
            <w:vAlign w:val="bottom"/>
            <w:gridSpan w:val="2"/>
          </w:tcPr>
          <w:p>
            <w:pPr>
              <w:jc w:val="right"/>
              <w:ind w:right="200"/>
              <w:spacing w:after="0"/>
              <w:rPr>
                <w:sz w:val="20"/>
                <w:szCs w:val="20"/>
                <w:color w:val="auto"/>
              </w:rPr>
            </w:pPr>
            <w:r>
              <w:rPr>
                <w:rFonts w:ascii="Arial" w:cs="Arial" w:eastAsia="Arial" w:hAnsi="Arial"/>
                <w:sz w:val="18"/>
                <w:szCs w:val="18"/>
                <w:color w:val="auto"/>
              </w:rPr>
              <w:t>94</w:t>
            </w:r>
          </w:p>
        </w:tc>
        <w:tc>
          <w:tcPr>
            <w:tcW w:w="30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160" w:type="dxa"/>
            <w:vAlign w:val="bottom"/>
            <w:gridSpan w:val="2"/>
          </w:tcPr>
          <w:p>
            <w:pPr>
              <w:jc w:val="right"/>
              <w:ind w:right="200"/>
              <w:spacing w:after="0"/>
              <w:rPr>
                <w:sz w:val="20"/>
                <w:szCs w:val="20"/>
                <w:color w:val="auto"/>
              </w:rPr>
            </w:pPr>
            <w:r>
              <w:rPr>
                <w:rFonts w:ascii="Arial" w:cs="Arial" w:eastAsia="Arial" w:hAnsi="Arial"/>
                <w:sz w:val="18"/>
                <w:szCs w:val="18"/>
                <w:color w:val="auto"/>
              </w:rPr>
              <w:t>88</w:t>
            </w:r>
          </w:p>
        </w:tc>
        <w:tc>
          <w:tcPr>
            <w:tcW w:w="30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960" w:type="dxa"/>
            <w:vAlign w:val="bottom"/>
          </w:tcPr>
          <w:p>
            <w:pPr>
              <w:jc w:val="right"/>
              <w:spacing w:after="0"/>
              <w:rPr>
                <w:sz w:val="20"/>
                <w:szCs w:val="20"/>
                <w:color w:val="auto"/>
              </w:rPr>
            </w:pPr>
            <w:r>
              <w:rPr>
                <w:rFonts w:ascii="Arial" w:cs="Arial" w:eastAsia="Arial" w:hAnsi="Arial"/>
                <w:sz w:val="18"/>
                <w:szCs w:val="18"/>
                <w:color w:val="auto"/>
              </w:rPr>
              <w:t>90</w:t>
            </w:r>
          </w:p>
        </w:tc>
        <w:tc>
          <w:tcPr>
            <w:tcW w:w="280" w:type="dxa"/>
            <w:vAlign w:val="bottom"/>
          </w:tcPr>
          <w:p>
            <w:pPr>
              <w:spacing w:after="0"/>
              <w:rPr>
                <w:sz w:val="18"/>
                <w:szCs w:val="18"/>
                <w:color w:val="auto"/>
              </w:rPr>
            </w:pPr>
          </w:p>
        </w:tc>
        <w:tc>
          <w:tcPr>
            <w:tcW w:w="240" w:type="dxa"/>
            <w:vAlign w:val="bottom"/>
          </w:tcPr>
          <w:p>
            <w:pPr>
              <w:jc w:val="right"/>
              <w:ind w:right="85"/>
              <w:spacing w:after="0"/>
              <w:rPr>
                <w:sz w:val="20"/>
                <w:szCs w:val="20"/>
                <w:color w:val="auto"/>
              </w:rPr>
            </w:pPr>
            <w:r>
              <w:rPr>
                <w:rFonts w:ascii="Arial" w:cs="Arial" w:eastAsia="Arial" w:hAnsi="Arial"/>
                <w:sz w:val="15"/>
                <w:szCs w:val="15"/>
                <w:color w:val="auto"/>
                <w:w w:val="71"/>
              </w:rPr>
              <w:t>$</w:t>
            </w:r>
          </w:p>
        </w:tc>
        <w:tc>
          <w:tcPr>
            <w:tcW w:w="1120" w:type="dxa"/>
            <w:vAlign w:val="bottom"/>
            <w:gridSpan w:val="2"/>
          </w:tcPr>
          <w:p>
            <w:pPr>
              <w:jc w:val="right"/>
              <w:ind w:right="160"/>
              <w:spacing w:after="0"/>
              <w:rPr>
                <w:sz w:val="20"/>
                <w:szCs w:val="20"/>
                <w:color w:val="auto"/>
              </w:rPr>
            </w:pPr>
            <w:r>
              <w:rPr>
                <w:rFonts w:ascii="Arial" w:cs="Arial" w:eastAsia="Arial" w:hAnsi="Arial"/>
                <w:sz w:val="18"/>
                <w:szCs w:val="18"/>
                <w:color w:val="auto"/>
              </w:rPr>
              <w:t>94</w:t>
            </w:r>
          </w:p>
        </w:tc>
      </w:tr>
      <w:tr>
        <w:trPr>
          <w:trHeight w:val="216"/>
        </w:trPr>
        <w:tc>
          <w:tcPr>
            <w:tcW w:w="4120" w:type="dxa"/>
            <w:vAlign w:val="bottom"/>
            <w:shd w:val="clear" w:color="auto" w:fill="CCEEFF"/>
          </w:tcPr>
          <w:p>
            <w:pPr>
              <w:spacing w:after="0"/>
              <w:rPr>
                <w:sz w:val="20"/>
                <w:szCs w:val="20"/>
                <w:color w:val="auto"/>
              </w:rPr>
            </w:pPr>
            <w:r>
              <w:rPr>
                <w:rFonts w:ascii="Arial" w:cs="Arial" w:eastAsia="Arial" w:hAnsi="Arial"/>
                <w:sz w:val="18"/>
                <w:szCs w:val="18"/>
                <w:color w:val="auto"/>
              </w:rPr>
              <w:t>Total assets</w:t>
            </w:r>
          </w:p>
        </w:tc>
        <w:tc>
          <w:tcPr>
            <w:tcW w:w="3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6,576</w:t>
            </w:r>
          </w:p>
        </w:tc>
        <w:tc>
          <w:tcPr>
            <w:tcW w:w="260" w:type="dxa"/>
            <w:vAlign w:val="bottom"/>
            <w:shd w:val="clear" w:color="auto" w:fill="CCEEFF"/>
          </w:tcPr>
          <w:p>
            <w:pPr>
              <w:spacing w:after="0"/>
              <w:rPr>
                <w:sz w:val="18"/>
                <w:szCs w:val="18"/>
                <w:color w:val="auto"/>
              </w:rPr>
            </w:pPr>
          </w:p>
        </w:tc>
        <w:tc>
          <w:tcPr>
            <w:tcW w:w="240" w:type="dxa"/>
            <w:vAlign w:val="bottom"/>
            <w:shd w:val="clear" w:color="auto" w:fill="CCEEFF"/>
          </w:tcPr>
          <w:p>
            <w:pPr>
              <w:jc w:val="right"/>
              <w:ind w:right="50"/>
              <w:spacing w:after="0"/>
              <w:rPr>
                <w:sz w:val="20"/>
                <w:szCs w:val="20"/>
                <w:color w:val="auto"/>
              </w:rPr>
            </w:pPr>
            <w:r>
              <w:rPr>
                <w:rFonts w:ascii="Arial" w:cs="Arial" w:eastAsia="Arial" w:hAnsi="Arial"/>
                <w:sz w:val="18"/>
                <w:szCs w:val="18"/>
                <w:color w:val="auto"/>
                <w:w w:val="79"/>
              </w:rPr>
              <w:t>$</w:t>
            </w:r>
          </w:p>
        </w:tc>
        <w:tc>
          <w:tcPr>
            <w:tcW w:w="11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6,331</w:t>
            </w:r>
          </w:p>
        </w:tc>
        <w:tc>
          <w:tcPr>
            <w:tcW w:w="3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11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6,576</w:t>
            </w:r>
          </w:p>
        </w:tc>
        <w:tc>
          <w:tcPr>
            <w:tcW w:w="3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6,450</w:t>
            </w:r>
          </w:p>
        </w:tc>
        <w:tc>
          <w:tcPr>
            <w:tcW w:w="280" w:type="dxa"/>
            <w:vAlign w:val="bottom"/>
            <w:shd w:val="clear" w:color="auto" w:fill="CCEEFF"/>
          </w:tcPr>
          <w:p>
            <w:pPr>
              <w:spacing w:after="0"/>
              <w:rPr>
                <w:sz w:val="18"/>
                <w:szCs w:val="18"/>
                <w:color w:val="auto"/>
              </w:rPr>
            </w:pPr>
          </w:p>
        </w:tc>
        <w:tc>
          <w:tcPr>
            <w:tcW w:w="240" w:type="dxa"/>
            <w:vAlign w:val="bottom"/>
            <w:shd w:val="clear" w:color="auto" w:fill="CCEEFF"/>
          </w:tcPr>
          <w:p>
            <w:pPr>
              <w:jc w:val="right"/>
              <w:ind w:right="85"/>
              <w:spacing w:after="0"/>
              <w:rPr>
                <w:sz w:val="20"/>
                <w:szCs w:val="20"/>
                <w:color w:val="auto"/>
              </w:rPr>
            </w:pPr>
            <w:r>
              <w:rPr>
                <w:rFonts w:ascii="Arial" w:cs="Arial" w:eastAsia="Arial" w:hAnsi="Arial"/>
                <w:sz w:val="15"/>
                <w:szCs w:val="15"/>
                <w:color w:val="auto"/>
                <w:w w:val="71"/>
              </w:rPr>
              <w:t>$</w:t>
            </w: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6,331</w:t>
            </w:r>
          </w:p>
        </w:tc>
      </w:tr>
      <w:tr>
        <w:trPr>
          <w:trHeight w:val="216"/>
        </w:trPr>
        <w:tc>
          <w:tcPr>
            <w:tcW w:w="4120" w:type="dxa"/>
            <w:vAlign w:val="bottom"/>
          </w:tcPr>
          <w:p>
            <w:pPr>
              <w:spacing w:after="0"/>
              <w:rPr>
                <w:sz w:val="20"/>
                <w:szCs w:val="20"/>
                <w:color w:val="auto"/>
              </w:rPr>
            </w:pPr>
            <w:r>
              <w:rPr>
                <w:rFonts w:ascii="Arial" w:cs="Arial" w:eastAsia="Arial" w:hAnsi="Arial"/>
                <w:sz w:val="18"/>
                <w:szCs w:val="18"/>
                <w:color w:val="auto"/>
              </w:rPr>
              <w:t>Total equity</w:t>
            </w:r>
          </w:p>
        </w:tc>
        <w:tc>
          <w:tcPr>
            <w:tcW w:w="34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940" w:type="dxa"/>
            <w:vAlign w:val="bottom"/>
          </w:tcPr>
          <w:p>
            <w:pPr>
              <w:jc w:val="right"/>
              <w:spacing w:after="0"/>
              <w:rPr>
                <w:sz w:val="20"/>
                <w:szCs w:val="20"/>
                <w:color w:val="auto"/>
              </w:rPr>
            </w:pPr>
            <w:r>
              <w:rPr>
                <w:rFonts w:ascii="Arial" w:cs="Arial" w:eastAsia="Arial" w:hAnsi="Arial"/>
                <w:sz w:val="18"/>
                <w:szCs w:val="18"/>
                <w:color w:val="auto"/>
              </w:rPr>
              <w:t>1,003</w:t>
            </w:r>
          </w:p>
        </w:tc>
        <w:tc>
          <w:tcPr>
            <w:tcW w:w="260" w:type="dxa"/>
            <w:vAlign w:val="bottom"/>
          </w:tcPr>
          <w:p>
            <w:pPr>
              <w:spacing w:after="0"/>
              <w:rPr>
                <w:sz w:val="18"/>
                <w:szCs w:val="18"/>
                <w:color w:val="auto"/>
              </w:rPr>
            </w:pPr>
          </w:p>
        </w:tc>
        <w:tc>
          <w:tcPr>
            <w:tcW w:w="240" w:type="dxa"/>
            <w:vAlign w:val="bottom"/>
          </w:tcPr>
          <w:p>
            <w:pPr>
              <w:jc w:val="right"/>
              <w:ind w:right="50"/>
              <w:spacing w:after="0"/>
              <w:rPr>
                <w:sz w:val="20"/>
                <w:szCs w:val="20"/>
                <w:color w:val="auto"/>
              </w:rPr>
            </w:pPr>
            <w:r>
              <w:rPr>
                <w:rFonts w:ascii="Arial" w:cs="Arial" w:eastAsia="Arial" w:hAnsi="Arial"/>
                <w:sz w:val="18"/>
                <w:szCs w:val="18"/>
                <w:color w:val="auto"/>
                <w:w w:val="79"/>
              </w:rPr>
              <w:t>$</w:t>
            </w:r>
          </w:p>
        </w:tc>
        <w:tc>
          <w:tcPr>
            <w:tcW w:w="1160" w:type="dxa"/>
            <w:vAlign w:val="bottom"/>
            <w:gridSpan w:val="2"/>
          </w:tcPr>
          <w:p>
            <w:pPr>
              <w:jc w:val="right"/>
              <w:ind w:right="200"/>
              <w:spacing w:after="0"/>
              <w:rPr>
                <w:sz w:val="20"/>
                <w:szCs w:val="20"/>
                <w:color w:val="auto"/>
              </w:rPr>
            </w:pPr>
            <w:r>
              <w:rPr>
                <w:rFonts w:ascii="Arial" w:cs="Arial" w:eastAsia="Arial" w:hAnsi="Arial"/>
                <w:sz w:val="18"/>
                <w:szCs w:val="18"/>
                <w:color w:val="auto"/>
              </w:rPr>
              <w:t>1,047</w:t>
            </w:r>
          </w:p>
        </w:tc>
        <w:tc>
          <w:tcPr>
            <w:tcW w:w="30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160" w:type="dxa"/>
            <w:vAlign w:val="bottom"/>
            <w:gridSpan w:val="2"/>
          </w:tcPr>
          <w:p>
            <w:pPr>
              <w:jc w:val="right"/>
              <w:ind w:right="200"/>
              <w:spacing w:after="0"/>
              <w:rPr>
                <w:sz w:val="20"/>
                <w:szCs w:val="20"/>
                <w:color w:val="auto"/>
              </w:rPr>
            </w:pPr>
            <w:r>
              <w:rPr>
                <w:rFonts w:ascii="Arial" w:cs="Arial" w:eastAsia="Arial" w:hAnsi="Arial"/>
                <w:sz w:val="18"/>
                <w:szCs w:val="18"/>
                <w:color w:val="auto"/>
              </w:rPr>
              <w:t>1,003</w:t>
            </w:r>
          </w:p>
        </w:tc>
        <w:tc>
          <w:tcPr>
            <w:tcW w:w="30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240" w:type="dxa"/>
            <w:vAlign w:val="bottom"/>
            <w:gridSpan w:val="2"/>
          </w:tcPr>
          <w:p>
            <w:pPr>
              <w:jc w:val="right"/>
              <w:ind w:right="280"/>
              <w:spacing w:after="0"/>
              <w:rPr>
                <w:sz w:val="20"/>
                <w:szCs w:val="20"/>
                <w:color w:val="auto"/>
              </w:rPr>
            </w:pPr>
            <w:r>
              <w:rPr>
                <w:rFonts w:ascii="Arial" w:cs="Arial" w:eastAsia="Arial" w:hAnsi="Arial"/>
                <w:sz w:val="18"/>
                <w:szCs w:val="18"/>
                <w:color w:val="auto"/>
              </w:rPr>
              <w:t>997</w:t>
            </w:r>
          </w:p>
        </w:tc>
        <w:tc>
          <w:tcPr>
            <w:tcW w:w="240" w:type="dxa"/>
            <w:vAlign w:val="bottom"/>
          </w:tcPr>
          <w:p>
            <w:pPr>
              <w:jc w:val="right"/>
              <w:ind w:right="85"/>
              <w:spacing w:after="0"/>
              <w:rPr>
                <w:sz w:val="20"/>
                <w:szCs w:val="20"/>
                <w:color w:val="auto"/>
              </w:rPr>
            </w:pPr>
            <w:r>
              <w:rPr>
                <w:rFonts w:ascii="Arial" w:cs="Arial" w:eastAsia="Arial" w:hAnsi="Arial"/>
                <w:sz w:val="15"/>
                <w:szCs w:val="15"/>
                <w:color w:val="auto"/>
                <w:w w:val="71"/>
              </w:rPr>
              <w:t>$</w:t>
            </w:r>
          </w:p>
        </w:tc>
        <w:tc>
          <w:tcPr>
            <w:tcW w:w="1120" w:type="dxa"/>
            <w:vAlign w:val="bottom"/>
            <w:gridSpan w:val="2"/>
          </w:tcPr>
          <w:p>
            <w:pPr>
              <w:jc w:val="right"/>
              <w:ind w:right="160"/>
              <w:spacing w:after="0"/>
              <w:rPr>
                <w:sz w:val="20"/>
                <w:szCs w:val="20"/>
                <w:color w:val="auto"/>
              </w:rPr>
            </w:pPr>
            <w:r>
              <w:rPr>
                <w:rFonts w:ascii="Arial" w:cs="Arial" w:eastAsia="Arial" w:hAnsi="Arial"/>
                <w:sz w:val="18"/>
                <w:szCs w:val="18"/>
                <w:color w:val="auto"/>
              </w:rPr>
              <w:t>1,047</w:t>
            </w:r>
          </w:p>
        </w:tc>
      </w:tr>
      <w:tr>
        <w:trPr>
          <w:trHeight w:val="257"/>
        </w:trPr>
        <w:tc>
          <w:tcPr>
            <w:tcW w:w="412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Market capitalization </w:t>
            </w:r>
            <w:r>
              <w:rPr>
                <w:rFonts w:ascii="Arial" w:cs="Arial" w:eastAsia="Arial" w:hAnsi="Arial"/>
                <w:sz w:val="29"/>
                <w:szCs w:val="29"/>
                <w:color w:val="auto"/>
                <w:vertAlign w:val="superscript"/>
              </w:rPr>
              <w:t>(7)</w:t>
            </w:r>
          </w:p>
        </w:tc>
        <w:tc>
          <w:tcPr>
            <w:tcW w:w="3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825</w:t>
            </w:r>
          </w:p>
        </w:tc>
        <w:tc>
          <w:tcPr>
            <w:tcW w:w="240" w:type="dxa"/>
            <w:vAlign w:val="bottom"/>
            <w:shd w:val="clear" w:color="auto" w:fill="CCEEFF"/>
          </w:tcPr>
          <w:p>
            <w:pPr>
              <w:jc w:val="right"/>
              <w:ind w:right="50"/>
              <w:spacing w:after="0"/>
              <w:rPr>
                <w:sz w:val="20"/>
                <w:szCs w:val="20"/>
                <w:color w:val="auto"/>
              </w:rPr>
            </w:pPr>
            <w:r>
              <w:rPr>
                <w:rFonts w:ascii="Arial" w:cs="Arial" w:eastAsia="Arial" w:hAnsi="Arial"/>
                <w:sz w:val="18"/>
                <w:szCs w:val="18"/>
                <w:color w:val="auto"/>
                <w:w w:val="79"/>
              </w:rPr>
              <w:t>$</w:t>
            </w:r>
          </w:p>
        </w:tc>
        <w:tc>
          <w:tcPr>
            <w:tcW w:w="11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975</w:t>
            </w:r>
          </w:p>
        </w:tc>
        <w:tc>
          <w:tcPr>
            <w:tcW w:w="3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11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825</w:t>
            </w:r>
          </w:p>
        </w:tc>
        <w:tc>
          <w:tcPr>
            <w:tcW w:w="3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12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788</w:t>
            </w:r>
          </w:p>
        </w:tc>
        <w:tc>
          <w:tcPr>
            <w:tcW w:w="240" w:type="dxa"/>
            <w:vAlign w:val="bottom"/>
            <w:shd w:val="clear" w:color="auto" w:fill="CCEEFF"/>
          </w:tcPr>
          <w:p>
            <w:pPr>
              <w:jc w:val="right"/>
              <w:ind w:right="85"/>
              <w:spacing w:after="0"/>
              <w:rPr>
                <w:sz w:val="20"/>
                <w:szCs w:val="20"/>
                <w:color w:val="auto"/>
              </w:rPr>
            </w:pPr>
            <w:r>
              <w:rPr>
                <w:rFonts w:ascii="Arial" w:cs="Arial" w:eastAsia="Arial" w:hAnsi="Arial"/>
                <w:sz w:val="15"/>
                <w:szCs w:val="15"/>
                <w:color w:val="auto"/>
                <w:w w:val="71"/>
              </w:rPr>
              <w:t>$</w:t>
            </w: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975</w:t>
            </w:r>
          </w:p>
        </w:tc>
      </w:tr>
      <w:tr>
        <w:trPr>
          <w:trHeight w:val="257"/>
        </w:trPr>
        <w:tc>
          <w:tcPr>
            <w:tcW w:w="4120" w:type="dxa"/>
            <w:vAlign w:val="bottom"/>
          </w:tcPr>
          <w:p>
            <w:pPr>
              <w:spacing w:after="0" w:line="256" w:lineRule="exact"/>
              <w:rPr>
                <w:sz w:val="20"/>
                <w:szCs w:val="20"/>
                <w:color w:val="auto"/>
              </w:rPr>
            </w:pPr>
            <w:r>
              <w:rPr>
                <w:rFonts w:ascii="Arial" w:cs="Arial" w:eastAsia="Arial" w:hAnsi="Arial"/>
                <w:sz w:val="18"/>
                <w:szCs w:val="18"/>
                <w:color w:val="auto"/>
              </w:rPr>
              <w:t xml:space="preserve">Tier 1 Basel III Capital Ratio </w:t>
            </w:r>
            <w:r>
              <w:rPr>
                <w:rFonts w:ascii="Arial" w:cs="Arial" w:eastAsia="Arial" w:hAnsi="Arial"/>
                <w:sz w:val="29"/>
                <w:szCs w:val="29"/>
                <w:color w:val="auto"/>
                <w:vertAlign w:val="superscript"/>
              </w:rPr>
              <w:t>(8)</w:t>
            </w:r>
          </w:p>
        </w:tc>
        <w:tc>
          <w:tcPr>
            <w:tcW w:w="100" w:type="dxa"/>
            <w:vAlign w:val="bottom"/>
          </w:tcPr>
          <w:p>
            <w:pPr>
              <w:spacing w:after="0"/>
              <w:rPr>
                <w:sz w:val="22"/>
                <w:szCs w:val="22"/>
                <w:color w:val="auto"/>
              </w:rPr>
            </w:pPr>
          </w:p>
        </w:tc>
        <w:tc>
          <w:tcPr>
            <w:tcW w:w="240" w:type="dxa"/>
            <w:vAlign w:val="bottom"/>
          </w:tcPr>
          <w:p>
            <w:pPr>
              <w:spacing w:after="0"/>
              <w:rPr>
                <w:sz w:val="22"/>
                <w:szCs w:val="22"/>
                <w:color w:val="auto"/>
              </w:rPr>
            </w:pPr>
          </w:p>
        </w:tc>
        <w:tc>
          <w:tcPr>
            <w:tcW w:w="1200" w:type="dxa"/>
            <w:vAlign w:val="bottom"/>
            <w:gridSpan w:val="2"/>
          </w:tcPr>
          <w:p>
            <w:pPr>
              <w:jc w:val="right"/>
              <w:ind w:right="120"/>
              <w:spacing w:after="0"/>
              <w:rPr>
                <w:sz w:val="20"/>
                <w:szCs w:val="20"/>
                <w:color w:val="auto"/>
              </w:rPr>
            </w:pPr>
            <w:r>
              <w:rPr>
                <w:rFonts w:ascii="Arial" w:cs="Arial" w:eastAsia="Arial" w:hAnsi="Arial"/>
                <w:sz w:val="18"/>
                <w:szCs w:val="18"/>
                <w:color w:val="auto"/>
              </w:rPr>
              <w:t>20.4%</w:t>
            </w:r>
          </w:p>
        </w:tc>
        <w:tc>
          <w:tcPr>
            <w:tcW w:w="240" w:type="dxa"/>
            <w:vAlign w:val="bottom"/>
          </w:tcPr>
          <w:p>
            <w:pPr>
              <w:spacing w:after="0"/>
              <w:rPr>
                <w:sz w:val="22"/>
                <w:szCs w:val="22"/>
                <w:color w:val="auto"/>
              </w:rPr>
            </w:pPr>
          </w:p>
        </w:tc>
        <w:tc>
          <w:tcPr>
            <w:tcW w:w="1160" w:type="dxa"/>
            <w:vAlign w:val="bottom"/>
            <w:gridSpan w:val="2"/>
          </w:tcPr>
          <w:p>
            <w:pPr>
              <w:jc w:val="right"/>
              <w:ind w:right="60"/>
              <w:spacing w:after="0"/>
              <w:rPr>
                <w:sz w:val="20"/>
                <w:szCs w:val="20"/>
                <w:color w:val="auto"/>
              </w:rPr>
            </w:pPr>
            <w:r>
              <w:rPr>
                <w:rFonts w:ascii="Arial" w:cs="Arial" w:eastAsia="Arial" w:hAnsi="Arial"/>
                <w:sz w:val="18"/>
                <w:szCs w:val="18"/>
                <w:color w:val="auto"/>
              </w:rPr>
              <w:t>20.0%</w:t>
            </w:r>
          </w:p>
        </w:tc>
        <w:tc>
          <w:tcPr>
            <w:tcW w:w="60" w:type="dxa"/>
            <w:vAlign w:val="bottom"/>
          </w:tcPr>
          <w:p>
            <w:pPr>
              <w:spacing w:after="0"/>
              <w:rPr>
                <w:sz w:val="22"/>
                <w:szCs w:val="22"/>
                <w:color w:val="auto"/>
              </w:rPr>
            </w:pPr>
          </w:p>
        </w:tc>
        <w:tc>
          <w:tcPr>
            <w:tcW w:w="240" w:type="dxa"/>
            <w:vAlign w:val="bottom"/>
          </w:tcPr>
          <w:p>
            <w:pPr>
              <w:spacing w:after="0"/>
              <w:rPr>
                <w:sz w:val="22"/>
                <w:szCs w:val="22"/>
                <w:color w:val="auto"/>
              </w:rPr>
            </w:pPr>
          </w:p>
        </w:tc>
        <w:tc>
          <w:tcPr>
            <w:tcW w:w="1160" w:type="dxa"/>
            <w:vAlign w:val="bottom"/>
            <w:gridSpan w:val="2"/>
          </w:tcPr>
          <w:p>
            <w:pPr>
              <w:jc w:val="right"/>
              <w:ind w:right="60"/>
              <w:spacing w:after="0"/>
              <w:rPr>
                <w:sz w:val="20"/>
                <w:szCs w:val="20"/>
                <w:color w:val="auto"/>
              </w:rPr>
            </w:pPr>
            <w:r>
              <w:rPr>
                <w:rFonts w:ascii="Arial" w:cs="Arial" w:eastAsia="Arial" w:hAnsi="Arial"/>
                <w:sz w:val="18"/>
                <w:szCs w:val="18"/>
                <w:color w:val="auto"/>
              </w:rPr>
              <w:t>20.4%</w:t>
            </w:r>
          </w:p>
        </w:tc>
        <w:tc>
          <w:tcPr>
            <w:tcW w:w="60" w:type="dxa"/>
            <w:vAlign w:val="bottom"/>
          </w:tcPr>
          <w:p>
            <w:pPr>
              <w:spacing w:after="0"/>
              <w:rPr>
                <w:sz w:val="22"/>
                <w:szCs w:val="22"/>
                <w:color w:val="auto"/>
              </w:rPr>
            </w:pPr>
          </w:p>
        </w:tc>
        <w:tc>
          <w:tcPr>
            <w:tcW w:w="240" w:type="dxa"/>
            <w:vAlign w:val="bottom"/>
          </w:tcPr>
          <w:p>
            <w:pPr>
              <w:spacing w:after="0"/>
              <w:rPr>
                <w:sz w:val="22"/>
                <w:szCs w:val="22"/>
                <w:color w:val="auto"/>
              </w:rPr>
            </w:pPr>
          </w:p>
        </w:tc>
        <w:tc>
          <w:tcPr>
            <w:tcW w:w="1240" w:type="dxa"/>
            <w:vAlign w:val="bottom"/>
            <w:gridSpan w:val="2"/>
          </w:tcPr>
          <w:p>
            <w:pPr>
              <w:jc w:val="right"/>
              <w:ind w:right="120"/>
              <w:spacing w:after="0"/>
              <w:rPr>
                <w:sz w:val="20"/>
                <w:szCs w:val="20"/>
                <w:color w:val="auto"/>
              </w:rPr>
            </w:pPr>
            <w:r>
              <w:rPr>
                <w:rFonts w:ascii="Arial" w:cs="Arial" w:eastAsia="Arial" w:hAnsi="Arial"/>
                <w:sz w:val="18"/>
                <w:szCs w:val="18"/>
                <w:color w:val="auto"/>
              </w:rPr>
              <w:t>20.1%</w:t>
            </w:r>
          </w:p>
        </w:tc>
        <w:tc>
          <w:tcPr>
            <w:tcW w:w="240" w:type="dxa"/>
            <w:vAlign w:val="bottom"/>
          </w:tcPr>
          <w:p>
            <w:pPr>
              <w:spacing w:after="0"/>
              <w:rPr>
                <w:sz w:val="22"/>
                <w:szCs w:val="22"/>
                <w:color w:val="auto"/>
              </w:rPr>
            </w:pPr>
          </w:p>
        </w:tc>
        <w:tc>
          <w:tcPr>
            <w:tcW w:w="1120" w:type="dxa"/>
            <w:vAlign w:val="bottom"/>
            <w:gridSpan w:val="2"/>
          </w:tcPr>
          <w:p>
            <w:pPr>
              <w:jc w:val="right"/>
              <w:ind w:right="20"/>
              <w:spacing w:after="0"/>
              <w:rPr>
                <w:sz w:val="20"/>
                <w:szCs w:val="20"/>
                <w:color w:val="auto"/>
              </w:rPr>
            </w:pPr>
            <w:r>
              <w:rPr>
                <w:rFonts w:ascii="Arial" w:cs="Arial" w:eastAsia="Arial" w:hAnsi="Arial"/>
                <w:sz w:val="18"/>
                <w:szCs w:val="18"/>
                <w:color w:val="auto"/>
              </w:rPr>
              <w:t>20.0%</w:t>
            </w:r>
          </w:p>
        </w:tc>
      </w:tr>
      <w:tr>
        <w:trPr>
          <w:trHeight w:val="216"/>
        </w:trPr>
        <w:tc>
          <w:tcPr>
            <w:tcW w:w="4120" w:type="dxa"/>
            <w:vAlign w:val="bottom"/>
            <w:shd w:val="clear" w:color="auto" w:fill="CCEEFF"/>
          </w:tcPr>
          <w:p>
            <w:pPr>
              <w:spacing w:after="0"/>
              <w:rPr>
                <w:sz w:val="20"/>
                <w:szCs w:val="20"/>
                <w:color w:val="auto"/>
              </w:rPr>
            </w:pPr>
            <w:r>
              <w:rPr>
                <w:rFonts w:ascii="Arial" w:cs="Arial" w:eastAsia="Arial" w:hAnsi="Arial"/>
                <w:sz w:val="18"/>
                <w:szCs w:val="18"/>
                <w:color w:val="auto"/>
              </w:rPr>
              <w:t>Total assets / Total equity (times)</w:t>
            </w:r>
          </w:p>
        </w:tc>
        <w:tc>
          <w:tcPr>
            <w:tcW w:w="1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6.6</w:t>
            </w:r>
          </w:p>
        </w:tc>
        <w:tc>
          <w:tcPr>
            <w:tcW w:w="26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6.0</w:t>
            </w:r>
          </w:p>
        </w:tc>
        <w:tc>
          <w:tcPr>
            <w:tcW w:w="6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6.6</w:t>
            </w:r>
          </w:p>
        </w:tc>
        <w:tc>
          <w:tcPr>
            <w:tcW w:w="6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6.5</w:t>
            </w:r>
          </w:p>
        </w:tc>
        <w:tc>
          <w:tcPr>
            <w:tcW w:w="2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6.0</w:t>
            </w:r>
          </w:p>
        </w:tc>
      </w:tr>
      <w:tr>
        <w:trPr>
          <w:trHeight w:val="257"/>
        </w:trPr>
        <w:tc>
          <w:tcPr>
            <w:tcW w:w="4120" w:type="dxa"/>
            <w:vAlign w:val="bottom"/>
          </w:tcPr>
          <w:p>
            <w:pPr>
              <w:spacing w:after="0" w:line="256" w:lineRule="exact"/>
              <w:rPr>
                <w:sz w:val="20"/>
                <w:szCs w:val="20"/>
                <w:color w:val="auto"/>
              </w:rPr>
            </w:pPr>
            <w:r>
              <w:rPr>
                <w:rFonts w:ascii="Arial" w:cs="Arial" w:eastAsia="Arial" w:hAnsi="Arial"/>
                <w:sz w:val="18"/>
                <w:szCs w:val="18"/>
                <w:color w:val="auto"/>
              </w:rPr>
              <w:t xml:space="preserve">Liquid Assets / Total Assets </w:t>
            </w:r>
            <w:r>
              <w:rPr>
                <w:rFonts w:ascii="Arial" w:cs="Arial" w:eastAsia="Arial" w:hAnsi="Arial"/>
                <w:sz w:val="29"/>
                <w:szCs w:val="29"/>
                <w:color w:val="auto"/>
                <w:vertAlign w:val="superscript"/>
              </w:rPr>
              <w:t>(9)</w:t>
            </w:r>
          </w:p>
        </w:tc>
        <w:tc>
          <w:tcPr>
            <w:tcW w:w="100" w:type="dxa"/>
            <w:vAlign w:val="bottom"/>
          </w:tcPr>
          <w:p>
            <w:pPr>
              <w:spacing w:after="0"/>
              <w:rPr>
                <w:sz w:val="22"/>
                <w:szCs w:val="22"/>
                <w:color w:val="auto"/>
              </w:rPr>
            </w:pPr>
          </w:p>
        </w:tc>
        <w:tc>
          <w:tcPr>
            <w:tcW w:w="240" w:type="dxa"/>
            <w:vAlign w:val="bottom"/>
          </w:tcPr>
          <w:p>
            <w:pPr>
              <w:spacing w:after="0"/>
              <w:rPr>
                <w:sz w:val="22"/>
                <w:szCs w:val="22"/>
                <w:color w:val="auto"/>
              </w:rPr>
            </w:pPr>
          </w:p>
        </w:tc>
        <w:tc>
          <w:tcPr>
            <w:tcW w:w="1200" w:type="dxa"/>
            <w:vAlign w:val="bottom"/>
            <w:gridSpan w:val="2"/>
          </w:tcPr>
          <w:p>
            <w:pPr>
              <w:jc w:val="right"/>
              <w:ind w:right="120"/>
              <w:spacing w:after="0"/>
              <w:rPr>
                <w:sz w:val="20"/>
                <w:szCs w:val="20"/>
                <w:color w:val="auto"/>
              </w:rPr>
            </w:pPr>
            <w:r>
              <w:rPr>
                <w:rFonts w:ascii="Arial" w:cs="Arial" w:eastAsia="Arial" w:hAnsi="Arial"/>
                <w:sz w:val="18"/>
                <w:szCs w:val="18"/>
                <w:color w:val="auto"/>
              </w:rPr>
              <w:t>12.8%</w:t>
            </w:r>
          </w:p>
        </w:tc>
        <w:tc>
          <w:tcPr>
            <w:tcW w:w="240" w:type="dxa"/>
            <w:vAlign w:val="bottom"/>
          </w:tcPr>
          <w:p>
            <w:pPr>
              <w:spacing w:after="0"/>
              <w:rPr>
                <w:sz w:val="22"/>
                <w:szCs w:val="22"/>
                <w:color w:val="auto"/>
              </w:rPr>
            </w:pPr>
          </w:p>
        </w:tc>
        <w:tc>
          <w:tcPr>
            <w:tcW w:w="1160" w:type="dxa"/>
            <w:vAlign w:val="bottom"/>
            <w:gridSpan w:val="2"/>
          </w:tcPr>
          <w:p>
            <w:pPr>
              <w:jc w:val="right"/>
              <w:ind w:right="60"/>
              <w:spacing w:after="0"/>
              <w:rPr>
                <w:sz w:val="20"/>
                <w:szCs w:val="20"/>
                <w:color w:val="auto"/>
              </w:rPr>
            </w:pPr>
            <w:r>
              <w:rPr>
                <w:rFonts w:ascii="Arial" w:cs="Arial" w:eastAsia="Arial" w:hAnsi="Arial"/>
                <w:sz w:val="18"/>
                <w:szCs w:val="18"/>
                <w:color w:val="auto"/>
              </w:rPr>
              <w:t>10.3%</w:t>
            </w:r>
          </w:p>
        </w:tc>
        <w:tc>
          <w:tcPr>
            <w:tcW w:w="60" w:type="dxa"/>
            <w:vAlign w:val="bottom"/>
          </w:tcPr>
          <w:p>
            <w:pPr>
              <w:spacing w:after="0"/>
              <w:rPr>
                <w:sz w:val="22"/>
                <w:szCs w:val="22"/>
                <w:color w:val="auto"/>
              </w:rPr>
            </w:pPr>
          </w:p>
        </w:tc>
        <w:tc>
          <w:tcPr>
            <w:tcW w:w="240" w:type="dxa"/>
            <w:vAlign w:val="bottom"/>
          </w:tcPr>
          <w:p>
            <w:pPr>
              <w:spacing w:after="0"/>
              <w:rPr>
                <w:sz w:val="22"/>
                <w:szCs w:val="22"/>
                <w:color w:val="auto"/>
              </w:rPr>
            </w:pPr>
          </w:p>
        </w:tc>
        <w:tc>
          <w:tcPr>
            <w:tcW w:w="1160" w:type="dxa"/>
            <w:vAlign w:val="bottom"/>
            <w:gridSpan w:val="2"/>
          </w:tcPr>
          <w:p>
            <w:pPr>
              <w:jc w:val="right"/>
              <w:ind w:right="60"/>
              <w:spacing w:after="0"/>
              <w:rPr>
                <w:sz w:val="20"/>
                <w:szCs w:val="20"/>
                <w:color w:val="auto"/>
              </w:rPr>
            </w:pPr>
            <w:r>
              <w:rPr>
                <w:rFonts w:ascii="Arial" w:cs="Arial" w:eastAsia="Arial" w:hAnsi="Arial"/>
                <w:sz w:val="18"/>
                <w:szCs w:val="18"/>
                <w:color w:val="auto"/>
              </w:rPr>
              <w:t>12.8%</w:t>
            </w:r>
          </w:p>
        </w:tc>
        <w:tc>
          <w:tcPr>
            <w:tcW w:w="60" w:type="dxa"/>
            <w:vAlign w:val="bottom"/>
          </w:tcPr>
          <w:p>
            <w:pPr>
              <w:spacing w:after="0"/>
              <w:rPr>
                <w:sz w:val="22"/>
                <w:szCs w:val="22"/>
                <w:color w:val="auto"/>
              </w:rPr>
            </w:pPr>
          </w:p>
        </w:tc>
        <w:tc>
          <w:tcPr>
            <w:tcW w:w="240" w:type="dxa"/>
            <w:vAlign w:val="bottom"/>
          </w:tcPr>
          <w:p>
            <w:pPr>
              <w:spacing w:after="0"/>
              <w:rPr>
                <w:sz w:val="22"/>
                <w:szCs w:val="22"/>
                <w:color w:val="auto"/>
              </w:rPr>
            </w:pPr>
          </w:p>
        </w:tc>
        <w:tc>
          <w:tcPr>
            <w:tcW w:w="1240" w:type="dxa"/>
            <w:vAlign w:val="bottom"/>
            <w:gridSpan w:val="2"/>
          </w:tcPr>
          <w:p>
            <w:pPr>
              <w:jc w:val="right"/>
              <w:ind w:right="120"/>
              <w:spacing w:after="0"/>
              <w:rPr>
                <w:sz w:val="20"/>
                <w:szCs w:val="20"/>
                <w:color w:val="auto"/>
              </w:rPr>
            </w:pPr>
            <w:r>
              <w:rPr>
                <w:rFonts w:ascii="Arial" w:cs="Arial" w:eastAsia="Arial" w:hAnsi="Arial"/>
                <w:sz w:val="18"/>
                <w:szCs w:val="18"/>
                <w:color w:val="auto"/>
              </w:rPr>
              <w:t>11.9%</w:t>
            </w:r>
          </w:p>
        </w:tc>
        <w:tc>
          <w:tcPr>
            <w:tcW w:w="240" w:type="dxa"/>
            <w:vAlign w:val="bottom"/>
          </w:tcPr>
          <w:p>
            <w:pPr>
              <w:spacing w:after="0"/>
              <w:rPr>
                <w:sz w:val="22"/>
                <w:szCs w:val="22"/>
                <w:color w:val="auto"/>
              </w:rPr>
            </w:pPr>
          </w:p>
        </w:tc>
        <w:tc>
          <w:tcPr>
            <w:tcW w:w="1120" w:type="dxa"/>
            <w:vAlign w:val="bottom"/>
            <w:gridSpan w:val="2"/>
          </w:tcPr>
          <w:p>
            <w:pPr>
              <w:jc w:val="right"/>
              <w:ind w:right="20"/>
              <w:spacing w:after="0"/>
              <w:rPr>
                <w:sz w:val="20"/>
                <w:szCs w:val="20"/>
                <w:color w:val="auto"/>
              </w:rPr>
            </w:pPr>
            <w:r>
              <w:rPr>
                <w:rFonts w:ascii="Arial" w:cs="Arial" w:eastAsia="Arial" w:hAnsi="Arial"/>
                <w:sz w:val="18"/>
                <w:szCs w:val="18"/>
                <w:color w:val="auto"/>
              </w:rPr>
              <w:t>10.3%</w:t>
            </w:r>
          </w:p>
        </w:tc>
      </w:tr>
      <w:tr>
        <w:trPr>
          <w:trHeight w:val="257"/>
        </w:trPr>
        <w:tc>
          <w:tcPr>
            <w:tcW w:w="412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Credit-impaired loans to Loan Portfolio </w:t>
            </w:r>
            <w:r>
              <w:rPr>
                <w:rFonts w:ascii="Arial" w:cs="Arial" w:eastAsia="Arial" w:hAnsi="Arial"/>
                <w:sz w:val="29"/>
                <w:szCs w:val="29"/>
                <w:color w:val="auto"/>
                <w:vertAlign w:val="superscript"/>
              </w:rPr>
              <w:t>(10)</w:t>
            </w:r>
          </w:p>
        </w:tc>
        <w:tc>
          <w:tcPr>
            <w:tcW w:w="100" w:type="dxa"/>
            <w:vAlign w:val="bottom"/>
            <w:shd w:val="clear" w:color="auto" w:fill="CCEEFF"/>
          </w:tcPr>
          <w:p>
            <w:pPr>
              <w:spacing w:after="0"/>
              <w:rPr>
                <w:sz w:val="22"/>
                <w:szCs w:val="22"/>
                <w:color w:val="auto"/>
              </w:rPr>
            </w:pPr>
          </w:p>
        </w:tc>
        <w:tc>
          <w:tcPr>
            <w:tcW w:w="240" w:type="dxa"/>
            <w:vAlign w:val="bottom"/>
            <w:shd w:val="clear" w:color="auto" w:fill="CCEEFF"/>
          </w:tcPr>
          <w:p>
            <w:pPr>
              <w:spacing w:after="0"/>
              <w:rPr>
                <w:sz w:val="22"/>
                <w:szCs w:val="22"/>
                <w:color w:val="auto"/>
              </w:rPr>
            </w:pPr>
          </w:p>
        </w:tc>
        <w:tc>
          <w:tcPr>
            <w:tcW w:w="12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1.16%</w:t>
            </w:r>
          </w:p>
        </w:tc>
        <w:tc>
          <w:tcPr>
            <w:tcW w:w="240" w:type="dxa"/>
            <w:vAlign w:val="bottom"/>
            <w:shd w:val="clear" w:color="auto" w:fill="CCEEFF"/>
          </w:tcPr>
          <w:p>
            <w:pPr>
              <w:spacing w:after="0"/>
              <w:rPr>
                <w:sz w:val="22"/>
                <w:szCs w:val="22"/>
                <w:color w:val="auto"/>
              </w:rPr>
            </w:pPr>
          </w:p>
        </w:tc>
        <w:tc>
          <w:tcPr>
            <w:tcW w:w="11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0.98%</w:t>
            </w:r>
          </w:p>
        </w:tc>
        <w:tc>
          <w:tcPr>
            <w:tcW w:w="60" w:type="dxa"/>
            <w:vAlign w:val="bottom"/>
            <w:shd w:val="clear" w:color="auto" w:fill="CCEEFF"/>
          </w:tcPr>
          <w:p>
            <w:pPr>
              <w:spacing w:after="0"/>
              <w:rPr>
                <w:sz w:val="22"/>
                <w:szCs w:val="22"/>
                <w:color w:val="auto"/>
              </w:rPr>
            </w:pPr>
          </w:p>
        </w:tc>
        <w:tc>
          <w:tcPr>
            <w:tcW w:w="240" w:type="dxa"/>
            <w:vAlign w:val="bottom"/>
            <w:shd w:val="clear" w:color="auto" w:fill="CCEEFF"/>
          </w:tcPr>
          <w:p>
            <w:pPr>
              <w:spacing w:after="0"/>
              <w:rPr>
                <w:sz w:val="22"/>
                <w:szCs w:val="22"/>
                <w:color w:val="auto"/>
              </w:rPr>
            </w:pPr>
          </w:p>
        </w:tc>
        <w:tc>
          <w:tcPr>
            <w:tcW w:w="11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1.16%</w:t>
            </w:r>
          </w:p>
        </w:tc>
        <w:tc>
          <w:tcPr>
            <w:tcW w:w="60" w:type="dxa"/>
            <w:vAlign w:val="bottom"/>
            <w:shd w:val="clear" w:color="auto" w:fill="CCEEFF"/>
          </w:tcPr>
          <w:p>
            <w:pPr>
              <w:spacing w:after="0"/>
              <w:rPr>
                <w:sz w:val="22"/>
                <w:szCs w:val="22"/>
                <w:color w:val="auto"/>
              </w:rPr>
            </w:pPr>
          </w:p>
        </w:tc>
        <w:tc>
          <w:tcPr>
            <w:tcW w:w="240" w:type="dxa"/>
            <w:vAlign w:val="bottom"/>
            <w:shd w:val="clear" w:color="auto" w:fill="CCEEFF"/>
          </w:tcPr>
          <w:p>
            <w:pPr>
              <w:spacing w:after="0"/>
              <w:rPr>
                <w:sz w:val="22"/>
                <w:szCs w:val="22"/>
                <w:color w:val="auto"/>
              </w:rPr>
            </w:pPr>
          </w:p>
        </w:tc>
        <w:tc>
          <w:tcPr>
            <w:tcW w:w="12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1.18%</w:t>
            </w:r>
          </w:p>
        </w:tc>
        <w:tc>
          <w:tcPr>
            <w:tcW w:w="240" w:type="dxa"/>
            <w:vAlign w:val="bottom"/>
            <w:shd w:val="clear" w:color="auto" w:fill="CCEEFF"/>
          </w:tcPr>
          <w:p>
            <w:pPr>
              <w:spacing w:after="0"/>
              <w:rPr>
                <w:sz w:val="22"/>
                <w:szCs w:val="22"/>
                <w:color w:val="auto"/>
              </w:rPr>
            </w:pPr>
          </w:p>
        </w:tc>
        <w:tc>
          <w:tcPr>
            <w:tcW w:w="11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0.98%</w:t>
            </w:r>
          </w:p>
        </w:tc>
      </w:tr>
      <w:tr>
        <w:trPr>
          <w:trHeight w:val="257"/>
        </w:trPr>
        <w:tc>
          <w:tcPr>
            <w:tcW w:w="4120" w:type="dxa"/>
            <w:vAlign w:val="bottom"/>
          </w:tcPr>
          <w:p>
            <w:pPr>
              <w:spacing w:after="0" w:line="256" w:lineRule="exact"/>
              <w:rPr>
                <w:sz w:val="20"/>
                <w:szCs w:val="20"/>
                <w:color w:val="auto"/>
              </w:rPr>
            </w:pPr>
            <w:r>
              <w:rPr>
                <w:rFonts w:ascii="Arial" w:cs="Arial" w:eastAsia="Arial" w:hAnsi="Arial"/>
                <w:sz w:val="18"/>
                <w:szCs w:val="18"/>
                <w:color w:val="auto"/>
                <w:w w:val="93"/>
              </w:rPr>
              <w:t xml:space="preserve">Total allowance for losses to Commercial Portfolio </w:t>
            </w:r>
            <w:r>
              <w:rPr>
                <w:rFonts w:ascii="Arial" w:cs="Arial" w:eastAsia="Arial" w:hAnsi="Arial"/>
                <w:sz w:val="29"/>
                <w:szCs w:val="29"/>
                <w:color w:val="auto"/>
                <w:w w:val="93"/>
                <w:vertAlign w:val="superscript"/>
              </w:rPr>
              <w:t>(11)</w:t>
            </w:r>
          </w:p>
        </w:tc>
        <w:tc>
          <w:tcPr>
            <w:tcW w:w="100" w:type="dxa"/>
            <w:vAlign w:val="bottom"/>
          </w:tcPr>
          <w:p>
            <w:pPr>
              <w:spacing w:after="0"/>
              <w:rPr>
                <w:sz w:val="22"/>
                <w:szCs w:val="22"/>
                <w:color w:val="auto"/>
              </w:rPr>
            </w:pPr>
          </w:p>
        </w:tc>
        <w:tc>
          <w:tcPr>
            <w:tcW w:w="240" w:type="dxa"/>
            <w:vAlign w:val="bottom"/>
          </w:tcPr>
          <w:p>
            <w:pPr>
              <w:spacing w:after="0"/>
              <w:rPr>
                <w:sz w:val="22"/>
                <w:szCs w:val="22"/>
                <w:color w:val="auto"/>
              </w:rPr>
            </w:pPr>
          </w:p>
        </w:tc>
        <w:tc>
          <w:tcPr>
            <w:tcW w:w="1200" w:type="dxa"/>
            <w:vAlign w:val="bottom"/>
            <w:gridSpan w:val="2"/>
          </w:tcPr>
          <w:p>
            <w:pPr>
              <w:jc w:val="right"/>
              <w:ind w:right="120"/>
              <w:spacing w:after="0"/>
              <w:rPr>
                <w:sz w:val="20"/>
                <w:szCs w:val="20"/>
                <w:color w:val="auto"/>
              </w:rPr>
            </w:pPr>
            <w:r>
              <w:rPr>
                <w:rFonts w:ascii="Arial" w:cs="Arial" w:eastAsia="Arial" w:hAnsi="Arial"/>
                <w:sz w:val="18"/>
                <w:szCs w:val="18"/>
                <w:color w:val="auto"/>
              </w:rPr>
              <w:t>1.70%</w:t>
            </w:r>
          </w:p>
        </w:tc>
        <w:tc>
          <w:tcPr>
            <w:tcW w:w="240" w:type="dxa"/>
            <w:vAlign w:val="bottom"/>
          </w:tcPr>
          <w:p>
            <w:pPr>
              <w:spacing w:after="0"/>
              <w:rPr>
                <w:sz w:val="22"/>
                <w:szCs w:val="22"/>
                <w:color w:val="auto"/>
              </w:rPr>
            </w:pPr>
          </w:p>
        </w:tc>
        <w:tc>
          <w:tcPr>
            <w:tcW w:w="1160" w:type="dxa"/>
            <w:vAlign w:val="bottom"/>
            <w:gridSpan w:val="2"/>
          </w:tcPr>
          <w:p>
            <w:pPr>
              <w:jc w:val="right"/>
              <w:ind w:right="60"/>
              <w:spacing w:after="0"/>
              <w:rPr>
                <w:sz w:val="20"/>
                <w:szCs w:val="20"/>
                <w:color w:val="auto"/>
              </w:rPr>
            </w:pPr>
            <w:r>
              <w:rPr>
                <w:rFonts w:ascii="Arial" w:cs="Arial" w:eastAsia="Arial" w:hAnsi="Arial"/>
                <w:sz w:val="18"/>
                <w:szCs w:val="18"/>
                <w:color w:val="auto"/>
              </w:rPr>
              <w:t>1.44%</w:t>
            </w:r>
          </w:p>
        </w:tc>
        <w:tc>
          <w:tcPr>
            <w:tcW w:w="60" w:type="dxa"/>
            <w:vAlign w:val="bottom"/>
          </w:tcPr>
          <w:p>
            <w:pPr>
              <w:spacing w:after="0"/>
              <w:rPr>
                <w:sz w:val="22"/>
                <w:szCs w:val="22"/>
                <w:color w:val="auto"/>
              </w:rPr>
            </w:pPr>
          </w:p>
        </w:tc>
        <w:tc>
          <w:tcPr>
            <w:tcW w:w="240" w:type="dxa"/>
            <w:vAlign w:val="bottom"/>
          </w:tcPr>
          <w:p>
            <w:pPr>
              <w:spacing w:after="0"/>
              <w:rPr>
                <w:sz w:val="22"/>
                <w:szCs w:val="22"/>
                <w:color w:val="auto"/>
              </w:rPr>
            </w:pPr>
          </w:p>
        </w:tc>
        <w:tc>
          <w:tcPr>
            <w:tcW w:w="1160" w:type="dxa"/>
            <w:vAlign w:val="bottom"/>
            <w:gridSpan w:val="2"/>
          </w:tcPr>
          <w:p>
            <w:pPr>
              <w:jc w:val="right"/>
              <w:ind w:right="60"/>
              <w:spacing w:after="0"/>
              <w:rPr>
                <w:sz w:val="20"/>
                <w:szCs w:val="20"/>
                <w:color w:val="auto"/>
              </w:rPr>
            </w:pPr>
            <w:r>
              <w:rPr>
                <w:rFonts w:ascii="Arial" w:cs="Arial" w:eastAsia="Arial" w:hAnsi="Arial"/>
                <w:sz w:val="18"/>
                <w:szCs w:val="18"/>
                <w:color w:val="auto"/>
              </w:rPr>
              <w:t>1.70%</w:t>
            </w:r>
          </w:p>
        </w:tc>
        <w:tc>
          <w:tcPr>
            <w:tcW w:w="60" w:type="dxa"/>
            <w:vAlign w:val="bottom"/>
          </w:tcPr>
          <w:p>
            <w:pPr>
              <w:spacing w:after="0"/>
              <w:rPr>
                <w:sz w:val="22"/>
                <w:szCs w:val="22"/>
                <w:color w:val="auto"/>
              </w:rPr>
            </w:pPr>
          </w:p>
        </w:tc>
        <w:tc>
          <w:tcPr>
            <w:tcW w:w="240" w:type="dxa"/>
            <w:vAlign w:val="bottom"/>
          </w:tcPr>
          <w:p>
            <w:pPr>
              <w:spacing w:after="0"/>
              <w:rPr>
                <w:sz w:val="22"/>
                <w:szCs w:val="22"/>
                <w:color w:val="auto"/>
              </w:rPr>
            </w:pPr>
          </w:p>
        </w:tc>
        <w:tc>
          <w:tcPr>
            <w:tcW w:w="1240" w:type="dxa"/>
            <w:vAlign w:val="bottom"/>
            <w:gridSpan w:val="2"/>
          </w:tcPr>
          <w:p>
            <w:pPr>
              <w:jc w:val="right"/>
              <w:ind w:right="120"/>
              <w:spacing w:after="0"/>
              <w:rPr>
                <w:sz w:val="20"/>
                <w:szCs w:val="20"/>
                <w:color w:val="auto"/>
              </w:rPr>
            </w:pPr>
            <w:r>
              <w:rPr>
                <w:rFonts w:ascii="Arial" w:cs="Arial" w:eastAsia="Arial" w:hAnsi="Arial"/>
                <w:sz w:val="18"/>
                <w:szCs w:val="18"/>
                <w:color w:val="auto"/>
              </w:rPr>
              <w:t>1.75%</w:t>
            </w:r>
          </w:p>
        </w:tc>
        <w:tc>
          <w:tcPr>
            <w:tcW w:w="240" w:type="dxa"/>
            <w:vAlign w:val="bottom"/>
          </w:tcPr>
          <w:p>
            <w:pPr>
              <w:spacing w:after="0"/>
              <w:rPr>
                <w:sz w:val="22"/>
                <w:szCs w:val="22"/>
                <w:color w:val="auto"/>
              </w:rPr>
            </w:pPr>
          </w:p>
        </w:tc>
        <w:tc>
          <w:tcPr>
            <w:tcW w:w="1120" w:type="dxa"/>
            <w:vAlign w:val="bottom"/>
            <w:gridSpan w:val="2"/>
          </w:tcPr>
          <w:p>
            <w:pPr>
              <w:jc w:val="right"/>
              <w:ind w:right="20"/>
              <w:spacing w:after="0"/>
              <w:rPr>
                <w:sz w:val="20"/>
                <w:szCs w:val="20"/>
                <w:color w:val="auto"/>
              </w:rPr>
            </w:pPr>
            <w:r>
              <w:rPr>
                <w:rFonts w:ascii="Arial" w:cs="Arial" w:eastAsia="Arial" w:hAnsi="Arial"/>
                <w:sz w:val="18"/>
                <w:szCs w:val="18"/>
                <w:color w:val="auto"/>
              </w:rPr>
              <w:t>1.44%</w:t>
            </w:r>
          </w:p>
        </w:tc>
      </w:tr>
      <w:tr>
        <w:trPr>
          <w:trHeight w:val="205"/>
        </w:trPr>
        <w:tc>
          <w:tcPr>
            <w:tcW w:w="4120" w:type="dxa"/>
            <w:vAlign w:val="bottom"/>
            <w:shd w:val="clear" w:color="auto" w:fill="CCEEFF"/>
          </w:tcPr>
          <w:p>
            <w:pPr>
              <w:spacing w:after="0" w:line="206" w:lineRule="exact"/>
              <w:rPr>
                <w:sz w:val="20"/>
                <w:szCs w:val="20"/>
                <w:color w:val="auto"/>
              </w:rPr>
            </w:pPr>
            <w:r>
              <w:rPr>
                <w:rFonts w:ascii="Arial" w:cs="Arial" w:eastAsia="Arial" w:hAnsi="Arial"/>
                <w:sz w:val="18"/>
                <w:szCs w:val="18"/>
                <w:color w:val="auto"/>
              </w:rPr>
              <w:t>Total allowance for losses to credit-impaired loans</w:t>
            </w:r>
          </w:p>
        </w:tc>
        <w:tc>
          <w:tcPr>
            <w:tcW w:w="10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94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r>
      <w:tr>
        <w:trPr>
          <w:trHeight w:val="267"/>
        </w:trPr>
        <w:tc>
          <w:tcPr>
            <w:tcW w:w="4120" w:type="dxa"/>
            <w:vAlign w:val="bottom"/>
            <w:shd w:val="clear" w:color="auto" w:fill="CCEEFF"/>
          </w:tcPr>
          <w:p>
            <w:pPr>
              <w:spacing w:after="0" w:line="266" w:lineRule="exact"/>
              <w:rPr>
                <w:sz w:val="20"/>
                <w:szCs w:val="20"/>
                <w:color w:val="auto"/>
              </w:rPr>
            </w:pPr>
            <w:r>
              <w:rPr>
                <w:rFonts w:ascii="Arial" w:cs="Arial" w:eastAsia="Arial" w:hAnsi="Arial"/>
                <w:sz w:val="18"/>
                <w:szCs w:val="18"/>
                <w:color w:val="auto"/>
              </w:rPr>
              <w:t xml:space="preserve">(times) </w:t>
            </w:r>
            <w:r>
              <w:rPr>
                <w:rFonts w:ascii="Arial" w:cs="Arial" w:eastAsia="Arial" w:hAnsi="Arial"/>
                <w:sz w:val="30"/>
                <w:szCs w:val="30"/>
                <w:color w:val="auto"/>
                <w:vertAlign w:val="superscript"/>
              </w:rPr>
              <w:t>(11)</w:t>
            </w:r>
          </w:p>
        </w:tc>
        <w:tc>
          <w:tcPr>
            <w:tcW w:w="100" w:type="dxa"/>
            <w:vAlign w:val="bottom"/>
            <w:shd w:val="clear" w:color="auto" w:fill="CCEEFF"/>
          </w:tcPr>
          <w:p>
            <w:pPr>
              <w:spacing w:after="0"/>
              <w:rPr>
                <w:sz w:val="23"/>
                <w:szCs w:val="23"/>
                <w:color w:val="auto"/>
              </w:rPr>
            </w:pPr>
          </w:p>
        </w:tc>
        <w:tc>
          <w:tcPr>
            <w:tcW w:w="240" w:type="dxa"/>
            <w:vAlign w:val="bottom"/>
            <w:shd w:val="clear" w:color="auto" w:fill="CCEEFF"/>
          </w:tcPr>
          <w:p>
            <w:pPr>
              <w:spacing w:after="0"/>
              <w:rPr>
                <w:sz w:val="23"/>
                <w:szCs w:val="23"/>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w:t>
            </w:r>
          </w:p>
        </w:tc>
        <w:tc>
          <w:tcPr>
            <w:tcW w:w="260" w:type="dxa"/>
            <w:vAlign w:val="bottom"/>
            <w:shd w:val="clear" w:color="auto" w:fill="CCEEFF"/>
          </w:tcPr>
          <w:p>
            <w:pPr>
              <w:spacing w:after="0"/>
              <w:rPr>
                <w:sz w:val="23"/>
                <w:szCs w:val="23"/>
                <w:color w:val="auto"/>
              </w:rPr>
            </w:pPr>
          </w:p>
        </w:tc>
        <w:tc>
          <w:tcPr>
            <w:tcW w:w="240" w:type="dxa"/>
            <w:vAlign w:val="bottom"/>
            <w:shd w:val="clear" w:color="auto" w:fill="CCEEFF"/>
          </w:tcPr>
          <w:p>
            <w:pPr>
              <w:spacing w:after="0"/>
              <w:rPr>
                <w:sz w:val="23"/>
                <w:szCs w:val="23"/>
                <w:color w:val="auto"/>
              </w:rPr>
            </w:pPr>
          </w:p>
        </w:tc>
        <w:tc>
          <w:tcPr>
            <w:tcW w:w="11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1.6</w:t>
            </w:r>
          </w:p>
        </w:tc>
        <w:tc>
          <w:tcPr>
            <w:tcW w:w="60" w:type="dxa"/>
            <w:vAlign w:val="bottom"/>
            <w:shd w:val="clear" w:color="auto" w:fill="CCEEFF"/>
          </w:tcPr>
          <w:p>
            <w:pPr>
              <w:spacing w:after="0"/>
              <w:rPr>
                <w:sz w:val="23"/>
                <w:szCs w:val="23"/>
                <w:color w:val="auto"/>
              </w:rPr>
            </w:pPr>
          </w:p>
        </w:tc>
        <w:tc>
          <w:tcPr>
            <w:tcW w:w="240" w:type="dxa"/>
            <w:vAlign w:val="bottom"/>
            <w:shd w:val="clear" w:color="auto" w:fill="CCEEFF"/>
          </w:tcPr>
          <w:p>
            <w:pPr>
              <w:spacing w:after="0"/>
              <w:rPr>
                <w:sz w:val="23"/>
                <w:szCs w:val="23"/>
                <w:color w:val="auto"/>
              </w:rPr>
            </w:pPr>
          </w:p>
        </w:tc>
        <w:tc>
          <w:tcPr>
            <w:tcW w:w="11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1.6</w:t>
            </w:r>
          </w:p>
        </w:tc>
        <w:tc>
          <w:tcPr>
            <w:tcW w:w="60" w:type="dxa"/>
            <w:vAlign w:val="bottom"/>
            <w:shd w:val="clear" w:color="auto" w:fill="CCEEFF"/>
          </w:tcPr>
          <w:p>
            <w:pPr>
              <w:spacing w:after="0"/>
              <w:rPr>
                <w:sz w:val="23"/>
                <w:szCs w:val="23"/>
                <w:color w:val="auto"/>
              </w:rPr>
            </w:pPr>
          </w:p>
        </w:tc>
        <w:tc>
          <w:tcPr>
            <w:tcW w:w="240" w:type="dxa"/>
            <w:vAlign w:val="bottom"/>
            <w:shd w:val="clear" w:color="auto" w:fill="CCEEFF"/>
          </w:tcPr>
          <w:p>
            <w:pPr>
              <w:spacing w:after="0"/>
              <w:rPr>
                <w:sz w:val="23"/>
                <w:szCs w:val="23"/>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w:t>
            </w:r>
          </w:p>
        </w:tc>
        <w:tc>
          <w:tcPr>
            <w:tcW w:w="280" w:type="dxa"/>
            <w:vAlign w:val="bottom"/>
            <w:shd w:val="clear" w:color="auto" w:fill="CCEEFF"/>
          </w:tcPr>
          <w:p>
            <w:pPr>
              <w:spacing w:after="0"/>
              <w:rPr>
                <w:sz w:val="23"/>
                <w:szCs w:val="23"/>
                <w:color w:val="auto"/>
              </w:rPr>
            </w:pPr>
          </w:p>
        </w:tc>
        <w:tc>
          <w:tcPr>
            <w:tcW w:w="240" w:type="dxa"/>
            <w:vAlign w:val="bottom"/>
            <w:shd w:val="clear" w:color="auto" w:fill="CCEEFF"/>
          </w:tcPr>
          <w:p>
            <w:pPr>
              <w:spacing w:after="0"/>
              <w:rPr>
                <w:sz w:val="23"/>
                <w:szCs w:val="23"/>
                <w:color w:val="auto"/>
              </w:rPr>
            </w:pP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1.6</w:t>
            </w:r>
          </w:p>
        </w:tc>
      </w:tr>
    </w:tbl>
    <w:p>
      <w:pPr>
        <w:spacing w:after="0" w:line="19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2Q19 &amp; 6M19 Highlights</w:t>
      </w:r>
    </w:p>
    <w:p>
      <w:pPr>
        <w:spacing w:after="0" w:line="229" w:lineRule="exact"/>
        <w:rPr>
          <w:sz w:val="20"/>
          <w:szCs w:val="20"/>
          <w:color w:val="auto"/>
        </w:rPr>
      </w:pPr>
    </w:p>
    <w:p>
      <w:pPr>
        <w:jc w:val="both"/>
        <w:ind w:left="180" w:right="20" w:hanging="172"/>
        <w:spacing w:after="0" w:line="264" w:lineRule="auto"/>
        <w:tabs>
          <w:tab w:leader="none" w:pos="180" w:val="left"/>
        </w:tabs>
        <w:numPr>
          <w:ilvl w:val="0"/>
          <w:numId w:val="1"/>
        </w:numPr>
        <w:rPr>
          <w:rFonts w:ascii="Arial" w:cs="Arial" w:eastAsia="Arial" w:hAnsi="Arial"/>
          <w:sz w:val="18"/>
          <w:szCs w:val="18"/>
          <w:color w:val="auto"/>
        </w:rPr>
      </w:pPr>
      <w:r>
        <w:rPr>
          <w:rFonts w:ascii="Arial" w:cs="Arial" w:eastAsia="Arial" w:hAnsi="Arial"/>
          <w:sz w:val="18"/>
          <w:szCs w:val="18"/>
          <w:color w:val="auto"/>
        </w:rPr>
        <w:t>Bladex reported a profit of $22.3 million in 2Q19, a 34% increase YoY as a result of the Bank’s improved top line revenues, decreased impairment losses and lower operating expenses. The 5% profit improvement QoQ was mainly driven by higher fees and commissions, while maintaining a stable Net Interest Income (“NII”).</w:t>
      </w:r>
    </w:p>
    <w:p>
      <w:pPr>
        <w:spacing w:after="0" w:line="181" w:lineRule="exact"/>
        <w:rPr>
          <w:rFonts w:ascii="Arial" w:cs="Arial" w:eastAsia="Arial" w:hAnsi="Arial"/>
          <w:sz w:val="18"/>
          <w:szCs w:val="18"/>
          <w:color w:val="auto"/>
        </w:rPr>
      </w:pPr>
    </w:p>
    <w:p>
      <w:pPr>
        <w:ind w:left="180" w:right="20" w:hanging="172"/>
        <w:spacing w:after="0" w:line="277" w:lineRule="auto"/>
        <w:tabs>
          <w:tab w:leader="none" w:pos="180" w:val="left"/>
        </w:tabs>
        <w:numPr>
          <w:ilvl w:val="0"/>
          <w:numId w:val="1"/>
        </w:numPr>
        <w:rPr>
          <w:rFonts w:ascii="Arial" w:cs="Arial" w:eastAsia="Arial" w:hAnsi="Arial"/>
          <w:sz w:val="18"/>
          <w:szCs w:val="18"/>
          <w:color w:val="auto"/>
        </w:rPr>
      </w:pPr>
      <w:r>
        <w:rPr>
          <w:rFonts w:ascii="Arial" w:cs="Arial" w:eastAsia="Arial" w:hAnsi="Arial"/>
          <w:sz w:val="18"/>
          <w:szCs w:val="18"/>
          <w:color w:val="auto"/>
        </w:rPr>
        <w:t>The Bank’s profits for the 6M19 of $43.5 million resulted on a 40% yearly increase mostly attributable to higher top line revenues and improved efficiency, along with lower impairment losses on financial instruments and other assets.</w:t>
      </w:r>
    </w:p>
    <w:p>
      <w:pPr>
        <w:spacing w:after="0" w:line="170" w:lineRule="exact"/>
        <w:rPr>
          <w:rFonts w:ascii="Arial" w:cs="Arial" w:eastAsia="Arial" w:hAnsi="Arial"/>
          <w:sz w:val="18"/>
          <w:szCs w:val="18"/>
          <w:color w:val="auto"/>
        </w:rPr>
      </w:pPr>
    </w:p>
    <w:p>
      <w:pPr>
        <w:jc w:val="both"/>
        <w:ind w:left="180" w:hanging="172"/>
        <w:spacing w:after="0" w:line="264" w:lineRule="auto"/>
        <w:tabs>
          <w:tab w:leader="none" w:pos="180" w:val="left"/>
        </w:tabs>
        <w:numPr>
          <w:ilvl w:val="0"/>
          <w:numId w:val="1"/>
        </w:numPr>
        <w:rPr>
          <w:rFonts w:ascii="Arial" w:cs="Arial" w:eastAsia="Arial" w:hAnsi="Arial"/>
          <w:sz w:val="18"/>
          <w:szCs w:val="18"/>
          <w:color w:val="auto"/>
        </w:rPr>
      </w:pPr>
      <w:r>
        <w:rPr>
          <w:rFonts w:ascii="Arial" w:cs="Arial" w:eastAsia="Arial" w:hAnsi="Arial"/>
          <w:sz w:val="18"/>
          <w:szCs w:val="18"/>
          <w:color w:val="auto"/>
        </w:rPr>
        <w:t>NII of $27.9 million for the 2Q19 remained stable QoQ, with Net Interest Margin (“NIM”) of 1.81% (+7 bps), on lower average funding costs and a better mix of interest-earning assets. NII and NIM for 6M19 reached $56.0 million and 1.77%, a 3% and 2 bps increase YoY, respectively, mainly on the net positive effect from the repricing of higher average LIBOR-based market rates.</w:t>
      </w:r>
    </w:p>
    <w:p>
      <w:pPr>
        <w:spacing w:after="0" w:line="181" w:lineRule="exact"/>
        <w:rPr>
          <w:rFonts w:ascii="Arial" w:cs="Arial" w:eastAsia="Arial" w:hAnsi="Arial"/>
          <w:sz w:val="18"/>
          <w:szCs w:val="18"/>
          <w:color w:val="auto"/>
        </w:rPr>
      </w:pPr>
    </w:p>
    <w:p>
      <w:pPr>
        <w:ind w:left="180" w:hanging="172"/>
        <w:spacing w:after="0" w:line="277" w:lineRule="auto"/>
        <w:tabs>
          <w:tab w:leader="none" w:pos="180" w:val="left"/>
        </w:tabs>
        <w:numPr>
          <w:ilvl w:val="0"/>
          <w:numId w:val="1"/>
        </w:numPr>
        <w:rPr>
          <w:rFonts w:ascii="Arial" w:cs="Arial" w:eastAsia="Arial" w:hAnsi="Arial"/>
          <w:sz w:val="18"/>
          <w:szCs w:val="18"/>
          <w:color w:val="auto"/>
        </w:rPr>
      </w:pPr>
      <w:r>
        <w:rPr>
          <w:rFonts w:ascii="Arial" w:cs="Arial" w:eastAsia="Arial" w:hAnsi="Arial"/>
          <w:sz w:val="18"/>
          <w:szCs w:val="18"/>
          <w:color w:val="auto"/>
        </w:rPr>
        <w:t>Fees and commissions income totaled $5.1 million in 2Q19 (+118% QoQ; +2% YoY), reaching to $7.5 million for the 6M19 (-8% YoY). The Bank successfully closed two syndicated transactions during 2Q19, while the letters of credit kept a steady pace of quarterly fee income.</w:t>
      </w:r>
    </w:p>
    <w:p>
      <w:pPr>
        <w:spacing w:after="0" w:line="170" w:lineRule="exact"/>
        <w:rPr>
          <w:rFonts w:ascii="Arial" w:cs="Arial" w:eastAsia="Arial" w:hAnsi="Arial"/>
          <w:sz w:val="18"/>
          <w:szCs w:val="18"/>
          <w:color w:val="auto"/>
        </w:rPr>
      </w:pPr>
    </w:p>
    <w:p>
      <w:pPr>
        <w:jc w:val="both"/>
        <w:ind w:left="180" w:hanging="172"/>
        <w:spacing w:after="0" w:line="342" w:lineRule="auto"/>
        <w:tabs>
          <w:tab w:leader="none" w:pos="180" w:val="left"/>
        </w:tabs>
        <w:numPr>
          <w:ilvl w:val="0"/>
          <w:numId w:val="1"/>
        </w:numPr>
        <w:rPr>
          <w:rFonts w:ascii="Arial" w:cs="Arial" w:eastAsia="Arial" w:hAnsi="Arial"/>
          <w:sz w:val="16"/>
          <w:szCs w:val="16"/>
          <w:color w:val="auto"/>
        </w:rPr>
      </w:pPr>
      <w:r>
        <w:rPr>
          <w:rFonts w:ascii="Arial" w:cs="Arial" w:eastAsia="Arial" w:hAnsi="Arial"/>
          <w:sz w:val="16"/>
          <w:szCs w:val="16"/>
          <w:color w:val="auto"/>
        </w:rPr>
        <w:t>Operating expenses decreased 20% YoY to $20.4 million in 6M19, mainly due to lower variable compensation expenses and restructuring charges. 2Q19 operating expenses were $10.6 million, +7% QoQ due to business-related expenses, and -7% YoY on lower salaries and other expenses. Efficiency Ratio</w:t>
      </w:r>
    </w:p>
    <w:p>
      <w:pPr>
        <w:sectPr>
          <w:pgSz w:w="11900" w:h="16867" w:orient="portrait"/>
          <w:cols w:equalWidth="0" w:num="1">
            <w:col w:w="11420"/>
          </w:cols>
          <w:pgMar w:left="240" w:top="1440" w:right="239" w:bottom="0" w:gutter="0" w:footer="0" w:header="0"/>
        </w:sectPr>
      </w:pPr>
    </w:p>
    <w:bookmarkStart w:id="3" w:name="page4"/>
    <w:bookmarkEnd w:id="3"/>
    <w:p>
      <w:pPr>
        <w:ind w:left="172"/>
        <w:spacing w:after="0"/>
        <w:rPr>
          <w:sz w:val="20"/>
          <w:szCs w:val="20"/>
          <w:color w:val="auto"/>
        </w:rPr>
      </w:pPr>
      <w:r>
        <w:rPr>
          <w:rFonts w:ascii="Arial" w:cs="Arial" w:eastAsia="Arial" w:hAnsi="Arial"/>
          <w:sz w:val="18"/>
          <w:szCs w:val="18"/>
          <w:color w:val="auto"/>
        </w:rPr>
        <w:t>stood at 31% for both the 2Q19 (stable QoQ; -4 pts YoY) and 6M19 (-10 pts YoY).</w:t>
      </w:r>
    </w:p>
    <w:p>
      <w:pPr>
        <w:spacing w:after="0" w:line="225" w:lineRule="exact"/>
        <w:rPr>
          <w:sz w:val="20"/>
          <w:szCs w:val="20"/>
          <w:color w:val="auto"/>
        </w:rPr>
      </w:pPr>
    </w:p>
    <w:p>
      <w:pPr>
        <w:ind w:left="172" w:right="20" w:hanging="172"/>
        <w:spacing w:after="0" w:line="277" w:lineRule="auto"/>
        <w:tabs>
          <w:tab w:leader="none" w:pos="172" w:val="left"/>
        </w:tabs>
        <w:numPr>
          <w:ilvl w:val="0"/>
          <w:numId w:val="2"/>
        </w:numPr>
        <w:rPr>
          <w:rFonts w:ascii="Arial" w:cs="Arial" w:eastAsia="Arial" w:hAnsi="Arial"/>
          <w:sz w:val="18"/>
          <w:szCs w:val="18"/>
          <w:color w:val="auto"/>
        </w:rPr>
      </w:pPr>
      <w:r>
        <w:rPr>
          <w:rFonts w:ascii="Arial" w:cs="Arial" w:eastAsia="Arial" w:hAnsi="Arial"/>
          <w:sz w:val="18"/>
          <w:szCs w:val="18"/>
          <w:color w:val="auto"/>
        </w:rPr>
        <w:t>2Q19 and 6M19 annualized Return on Average Equity (“ROAE”) increased to 9.0% and 8.8%, respectively, while the Bank’s capitalization remained solid with a Tier 1 Basel III Capital Ratio at 20.4%.</w:t>
      </w:r>
    </w:p>
    <w:p>
      <w:pPr>
        <w:spacing w:after="0" w:line="170" w:lineRule="exact"/>
        <w:rPr>
          <w:rFonts w:ascii="Arial" w:cs="Arial" w:eastAsia="Arial" w:hAnsi="Arial"/>
          <w:sz w:val="18"/>
          <w:szCs w:val="18"/>
          <w:color w:val="auto"/>
        </w:rPr>
      </w:pPr>
    </w:p>
    <w:p>
      <w:pPr>
        <w:jc w:val="both"/>
        <w:ind w:left="172" w:hanging="172"/>
        <w:spacing w:after="0" w:line="264" w:lineRule="auto"/>
        <w:tabs>
          <w:tab w:leader="none" w:pos="172" w:val="left"/>
        </w:tabs>
        <w:numPr>
          <w:ilvl w:val="0"/>
          <w:numId w:val="2"/>
        </w:numPr>
        <w:rPr>
          <w:rFonts w:ascii="Arial" w:cs="Arial" w:eastAsia="Arial" w:hAnsi="Arial"/>
          <w:sz w:val="18"/>
          <w:szCs w:val="18"/>
          <w:color w:val="auto"/>
        </w:rPr>
      </w:pPr>
      <w:r>
        <w:rPr>
          <w:rFonts w:ascii="Arial" w:cs="Arial" w:eastAsia="Arial" w:hAnsi="Arial"/>
          <w:sz w:val="18"/>
          <w:szCs w:val="18"/>
          <w:color w:val="auto"/>
        </w:rPr>
        <w:t>Credit-impaired Loans, also referred as Non-Performing Loans or NPLs, remained stable QoQ at $64.7 million, representing 1.16% of total Loan Portfolio balances, a 2 bps decrease QoQ on higher lending balances at the end of 2Q19. This compares to $54.3 million, or 0.98%, at the end of 2Q18. The total allowance for losses remained at 1.6 times NPL balances for each period.</w:t>
      </w:r>
    </w:p>
    <w:p>
      <w:pPr>
        <w:spacing w:after="0" w:line="181" w:lineRule="exact"/>
        <w:rPr>
          <w:rFonts w:ascii="Arial" w:cs="Arial" w:eastAsia="Arial" w:hAnsi="Arial"/>
          <w:sz w:val="18"/>
          <w:szCs w:val="18"/>
          <w:color w:val="auto"/>
        </w:rPr>
      </w:pPr>
    </w:p>
    <w:p>
      <w:pPr>
        <w:ind w:left="172" w:right="20" w:hanging="172"/>
        <w:spacing w:after="0" w:line="277" w:lineRule="auto"/>
        <w:tabs>
          <w:tab w:leader="none" w:pos="172" w:val="left"/>
        </w:tabs>
        <w:numPr>
          <w:ilvl w:val="0"/>
          <w:numId w:val="2"/>
        </w:numPr>
        <w:rPr>
          <w:rFonts w:ascii="Arial" w:cs="Arial" w:eastAsia="Arial" w:hAnsi="Arial"/>
          <w:sz w:val="18"/>
          <w:szCs w:val="18"/>
          <w:color w:val="auto"/>
        </w:rPr>
      </w:pPr>
      <w:r>
        <w:rPr>
          <w:rFonts w:ascii="Arial" w:cs="Arial" w:eastAsia="Arial" w:hAnsi="Arial"/>
          <w:sz w:val="18"/>
          <w:szCs w:val="18"/>
          <w:color w:val="auto"/>
        </w:rPr>
        <w:t>End-of-period Commercial Portfolio balances increased 3% QoQ and YoY to reach $6.2 billion at the end of 2Q19. Average balances were $6.0 billion for the 2Q19 (-1% QoQ; +3% YoY) and 6M19 (+2% YoY).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408940</wp:posOffset>
            </wp:positionV>
            <wp:extent cx="7246620" cy="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12"/>
          </w:cols>
          <w:pgMar w:left="248" w:top="125" w:right="239" w:bottom="1440" w:gutter="0" w:footer="0" w:header="0"/>
        </w:sectPr>
      </w:pPr>
    </w:p>
    <w:bookmarkStart w:id="4" w:name="page5"/>
    <w:bookmarkEnd w:id="4"/>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CEO’s Comments</w:t>
      </w:r>
    </w:p>
    <w:p>
      <w:pPr>
        <w:spacing w:after="0" w:line="229"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Mr. N. Gabriel Tolchinsky, Bladex’s Chief Executive Officer said, “</w:t>
      </w:r>
      <w:r>
        <w:rPr>
          <w:rFonts w:ascii="Arial" w:cs="Arial" w:eastAsia="Arial" w:hAnsi="Arial"/>
          <w:sz w:val="18"/>
          <w:szCs w:val="18"/>
          <w:i w:val="1"/>
          <w:iCs w:val="1"/>
          <w:color w:val="auto"/>
        </w:rPr>
        <w:t>In the second quarter the Federal Reserve began to set the stage for lower interest rates in</w:t>
      </w:r>
      <w:r>
        <w:rPr>
          <w:rFonts w:ascii="Arial" w:cs="Arial" w:eastAsia="Arial" w:hAnsi="Arial"/>
          <w:sz w:val="18"/>
          <w:szCs w:val="18"/>
          <w:color w:val="auto"/>
        </w:rPr>
        <w:t xml:space="preserve"> </w:t>
      </w:r>
      <w:r>
        <w:rPr>
          <w:rFonts w:ascii="Arial" w:cs="Arial" w:eastAsia="Arial" w:hAnsi="Arial"/>
          <w:sz w:val="18"/>
          <w:szCs w:val="18"/>
          <w:i w:val="1"/>
          <w:iCs w:val="1"/>
          <w:color w:val="auto"/>
        </w:rPr>
        <w:t>the second half of the year. The prospect of lower rates inverted the US dollar yield curve – a harbinger of economic recession, which usually weakens the US dollar. Nevertheless, further growth deceleration in both Europe and China continues to make the US dollar attractive, thereby reducing fund flows to emerging markets in general, and Latin America, in particular.</w:t>
      </w:r>
    </w:p>
    <w:p>
      <w:pPr>
        <w:spacing w:after="0" w:line="187" w:lineRule="exact"/>
        <w:rPr>
          <w:sz w:val="20"/>
          <w:szCs w:val="20"/>
          <w:color w:val="auto"/>
        </w:rPr>
      </w:pPr>
    </w:p>
    <w:p>
      <w:pPr>
        <w:jc w:val="both"/>
        <w:spacing w:after="0" w:line="286" w:lineRule="auto"/>
        <w:rPr>
          <w:sz w:val="20"/>
          <w:szCs w:val="20"/>
          <w:color w:val="auto"/>
        </w:rPr>
      </w:pPr>
      <w:r>
        <w:rPr>
          <w:rFonts w:ascii="Arial" w:cs="Arial" w:eastAsia="Arial" w:hAnsi="Arial"/>
          <w:sz w:val="17"/>
          <w:szCs w:val="17"/>
          <w:i w:val="1"/>
          <w:iCs w:val="1"/>
          <w:color w:val="auto"/>
        </w:rPr>
        <w:t>With lower fund flows to Latin America, sagging investment in key countries has become a drag on the Region´s economic growth. Bladex´s growth expectation for 2019 is now closer to the 1% range for Latin America. Our adjustments to economic growth are primarily driven by lower investment, the prospect of diminishing trade volumes, the weight of lower growth rates from developed markets, as well as political uncertainty in key countries.</w:t>
      </w:r>
    </w:p>
    <w:p>
      <w:pPr>
        <w:spacing w:after="0" w:line="166" w:lineRule="exact"/>
        <w:rPr>
          <w:sz w:val="20"/>
          <w:szCs w:val="20"/>
          <w:color w:val="auto"/>
        </w:rPr>
      </w:pPr>
    </w:p>
    <w:p>
      <w:pPr>
        <w:jc w:val="both"/>
        <w:spacing w:after="0" w:line="258" w:lineRule="auto"/>
        <w:rPr>
          <w:sz w:val="20"/>
          <w:szCs w:val="20"/>
          <w:color w:val="auto"/>
        </w:rPr>
      </w:pPr>
      <w:r>
        <w:rPr>
          <w:rFonts w:ascii="Arial" w:cs="Arial" w:eastAsia="Arial" w:hAnsi="Arial"/>
          <w:sz w:val="18"/>
          <w:szCs w:val="18"/>
          <w:i w:val="1"/>
          <w:iCs w:val="1"/>
          <w:color w:val="auto"/>
        </w:rPr>
        <w:t>As such, we continue to believe that the current macroeconomic context offers no room for complacency, and we adjust our portfolio accordingly. To summarize, Bladex continues to perform in the following areas:</w:t>
      </w:r>
    </w:p>
    <w:p>
      <w:pPr>
        <w:spacing w:after="0" w:line="1" w:lineRule="exact"/>
        <w:rPr>
          <w:sz w:val="20"/>
          <w:szCs w:val="20"/>
          <w:color w:val="auto"/>
        </w:rPr>
      </w:pPr>
    </w:p>
    <w:p>
      <w:pPr>
        <w:ind w:left="660" w:hanging="328"/>
        <w:spacing w:after="0"/>
        <w:tabs>
          <w:tab w:leader="none" w:pos="660" w:val="left"/>
        </w:tabs>
        <w:numPr>
          <w:ilvl w:val="0"/>
          <w:numId w:val="3"/>
        </w:numPr>
        <w:rPr>
          <w:rFonts w:ascii="Arial" w:cs="Arial" w:eastAsia="Arial" w:hAnsi="Arial"/>
          <w:sz w:val="18"/>
          <w:szCs w:val="18"/>
          <w:color w:val="auto"/>
        </w:rPr>
      </w:pPr>
      <w:r>
        <w:rPr>
          <w:rFonts w:ascii="Arial" w:cs="Arial" w:eastAsia="Arial" w:hAnsi="Arial"/>
          <w:sz w:val="18"/>
          <w:szCs w:val="18"/>
          <w:i w:val="1"/>
          <w:iCs w:val="1"/>
          <w:color w:val="auto"/>
        </w:rPr>
        <w:t>Originating new loans at higher lending spreads than maturities and with a solid pipeline of syndicated and structured transactions.</w:t>
      </w:r>
    </w:p>
    <w:p>
      <w:pPr>
        <w:spacing w:after="0" w:line="9" w:lineRule="exact"/>
        <w:rPr>
          <w:rFonts w:ascii="Arial" w:cs="Arial" w:eastAsia="Arial" w:hAnsi="Arial"/>
          <w:sz w:val="18"/>
          <w:szCs w:val="18"/>
          <w:color w:val="auto"/>
        </w:rPr>
      </w:pPr>
    </w:p>
    <w:p>
      <w:pPr>
        <w:ind w:left="660" w:hanging="328"/>
        <w:spacing w:after="0"/>
        <w:tabs>
          <w:tab w:leader="none" w:pos="660" w:val="left"/>
        </w:tabs>
        <w:numPr>
          <w:ilvl w:val="0"/>
          <w:numId w:val="3"/>
        </w:numPr>
        <w:rPr>
          <w:rFonts w:ascii="Arial" w:cs="Arial" w:eastAsia="Arial" w:hAnsi="Arial"/>
          <w:sz w:val="18"/>
          <w:szCs w:val="18"/>
          <w:color w:val="auto"/>
        </w:rPr>
      </w:pPr>
      <w:r>
        <w:rPr>
          <w:rFonts w:ascii="Arial" w:cs="Arial" w:eastAsia="Arial" w:hAnsi="Arial"/>
          <w:sz w:val="18"/>
          <w:szCs w:val="18"/>
          <w:i w:val="1"/>
          <w:iCs w:val="1"/>
          <w:color w:val="auto"/>
        </w:rPr>
        <w:t>Increasing deposits, particularly from our Class A shareholders, improving our cost of funds.</w:t>
      </w:r>
    </w:p>
    <w:p>
      <w:pPr>
        <w:spacing w:after="0" w:line="9" w:lineRule="exact"/>
        <w:rPr>
          <w:rFonts w:ascii="Arial" w:cs="Arial" w:eastAsia="Arial" w:hAnsi="Arial"/>
          <w:sz w:val="18"/>
          <w:szCs w:val="18"/>
          <w:color w:val="auto"/>
        </w:rPr>
      </w:pPr>
    </w:p>
    <w:p>
      <w:pPr>
        <w:ind w:left="660" w:hanging="328"/>
        <w:spacing w:after="0"/>
        <w:tabs>
          <w:tab w:leader="none" w:pos="660" w:val="left"/>
        </w:tabs>
        <w:numPr>
          <w:ilvl w:val="0"/>
          <w:numId w:val="3"/>
        </w:numPr>
        <w:rPr>
          <w:rFonts w:ascii="Arial" w:cs="Arial" w:eastAsia="Arial" w:hAnsi="Arial"/>
          <w:sz w:val="18"/>
          <w:szCs w:val="18"/>
          <w:color w:val="auto"/>
        </w:rPr>
      </w:pPr>
      <w:r>
        <w:rPr>
          <w:rFonts w:ascii="Arial" w:cs="Arial" w:eastAsia="Arial" w:hAnsi="Arial"/>
          <w:sz w:val="18"/>
          <w:szCs w:val="18"/>
          <w:i w:val="1"/>
          <w:iCs w:val="1"/>
          <w:color w:val="auto"/>
        </w:rPr>
        <w:t>Keeping expenses under control.</w:t>
      </w:r>
    </w:p>
    <w:p>
      <w:pPr>
        <w:spacing w:after="0" w:line="9" w:lineRule="exact"/>
        <w:rPr>
          <w:rFonts w:ascii="Arial" w:cs="Arial" w:eastAsia="Arial" w:hAnsi="Arial"/>
          <w:sz w:val="18"/>
          <w:szCs w:val="18"/>
          <w:color w:val="auto"/>
        </w:rPr>
      </w:pPr>
    </w:p>
    <w:p>
      <w:pPr>
        <w:ind w:left="660" w:hanging="328"/>
        <w:spacing w:after="0"/>
        <w:tabs>
          <w:tab w:leader="none" w:pos="660" w:val="left"/>
        </w:tabs>
        <w:numPr>
          <w:ilvl w:val="0"/>
          <w:numId w:val="3"/>
        </w:numPr>
        <w:rPr>
          <w:rFonts w:ascii="Arial" w:cs="Arial" w:eastAsia="Arial" w:hAnsi="Arial"/>
          <w:sz w:val="18"/>
          <w:szCs w:val="18"/>
          <w:color w:val="auto"/>
        </w:rPr>
      </w:pPr>
      <w:r>
        <w:rPr>
          <w:rFonts w:ascii="Arial" w:cs="Arial" w:eastAsia="Arial" w:hAnsi="Arial"/>
          <w:sz w:val="18"/>
          <w:szCs w:val="18"/>
          <w:i w:val="1"/>
          <w:iCs w:val="1"/>
          <w:color w:val="auto"/>
        </w:rPr>
        <w:t>Maintaining our credit impaired loans unchanged.</w:t>
      </w:r>
    </w:p>
    <w:p>
      <w:pPr>
        <w:spacing w:after="0" w:line="9" w:lineRule="exact"/>
        <w:rPr>
          <w:rFonts w:ascii="Arial" w:cs="Arial" w:eastAsia="Arial" w:hAnsi="Arial"/>
          <w:sz w:val="18"/>
          <w:szCs w:val="18"/>
          <w:color w:val="auto"/>
        </w:rPr>
      </w:pPr>
    </w:p>
    <w:p>
      <w:pPr>
        <w:ind w:left="660" w:hanging="328"/>
        <w:spacing w:after="0"/>
        <w:tabs>
          <w:tab w:leader="none" w:pos="660" w:val="left"/>
        </w:tabs>
        <w:numPr>
          <w:ilvl w:val="0"/>
          <w:numId w:val="3"/>
        </w:numPr>
        <w:rPr>
          <w:rFonts w:ascii="Arial" w:cs="Arial" w:eastAsia="Arial" w:hAnsi="Arial"/>
          <w:sz w:val="18"/>
          <w:szCs w:val="18"/>
          <w:color w:val="auto"/>
        </w:rPr>
      </w:pPr>
      <w:r>
        <w:rPr>
          <w:rFonts w:ascii="Arial" w:cs="Arial" w:eastAsia="Arial" w:hAnsi="Arial"/>
          <w:sz w:val="18"/>
          <w:szCs w:val="18"/>
          <w:i w:val="1"/>
          <w:iCs w:val="1"/>
          <w:color w:val="auto"/>
        </w:rPr>
        <w:t>Improving our credit reserve coverage and strong Tier I capital ratio.</w:t>
      </w:r>
    </w:p>
    <w:p>
      <w:pPr>
        <w:spacing w:after="0" w:line="211" w:lineRule="exact"/>
        <w:rPr>
          <w:sz w:val="20"/>
          <w:szCs w:val="20"/>
          <w:color w:val="auto"/>
        </w:rPr>
      </w:pPr>
    </w:p>
    <w:p>
      <w:pPr>
        <w:spacing w:after="0" w:line="277" w:lineRule="auto"/>
        <w:rPr>
          <w:sz w:val="20"/>
          <w:szCs w:val="20"/>
          <w:color w:val="auto"/>
        </w:rPr>
      </w:pPr>
      <w:r>
        <w:rPr>
          <w:rFonts w:ascii="Arial" w:cs="Arial" w:eastAsia="Arial" w:hAnsi="Arial"/>
          <w:sz w:val="18"/>
          <w:szCs w:val="18"/>
          <w:i w:val="1"/>
          <w:iCs w:val="1"/>
          <w:color w:val="auto"/>
        </w:rPr>
        <w:t>Against this backdrop, the management of Bladex - as well as its Board of Directors - are cautiously optimistic for the second half of 2019 and look for a continuation of the profitability path we embarked on in the last two quarters.</w:t>
      </w:r>
      <w:r>
        <w:rPr>
          <w:rFonts w:ascii="Arial" w:cs="Arial" w:eastAsia="Arial" w:hAnsi="Arial"/>
          <w:sz w:val="18"/>
          <w:szCs w:val="18"/>
          <w:color w:val="auto"/>
        </w:rPr>
        <w:t>”</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RECENT EVENTS</w:t>
      </w:r>
    </w:p>
    <w:p>
      <w:pPr>
        <w:spacing w:after="0" w:line="225" w:lineRule="exact"/>
        <w:rPr>
          <w:sz w:val="20"/>
          <w:szCs w:val="20"/>
          <w:color w:val="auto"/>
        </w:rPr>
      </w:pPr>
    </w:p>
    <w:p>
      <w:pPr>
        <w:ind w:left="660" w:hanging="328"/>
        <w:spacing w:after="0" w:line="276" w:lineRule="auto"/>
        <w:tabs>
          <w:tab w:leader="none" w:pos="660" w:val="left"/>
        </w:tabs>
        <w:numPr>
          <w:ilvl w:val="0"/>
          <w:numId w:val="4"/>
        </w:numPr>
        <w:rPr>
          <w:rFonts w:ascii="Arial" w:cs="Arial" w:eastAsia="Arial" w:hAnsi="Arial"/>
          <w:sz w:val="17"/>
          <w:szCs w:val="17"/>
          <w:color w:val="auto"/>
        </w:rPr>
      </w:pPr>
      <w:r>
        <w:rPr>
          <w:rFonts w:ascii="Arial" w:cs="Arial" w:eastAsia="Arial" w:hAnsi="Arial"/>
          <w:sz w:val="17"/>
          <w:szCs w:val="17"/>
          <w:b w:val="1"/>
          <w:bCs w:val="1"/>
          <w:color w:val="auto"/>
        </w:rPr>
        <w:t xml:space="preserve">Quarterly dividend payment: </w:t>
      </w:r>
      <w:r>
        <w:rPr>
          <w:rFonts w:ascii="Arial" w:cs="Arial" w:eastAsia="Arial" w:hAnsi="Arial"/>
          <w:sz w:val="17"/>
          <w:szCs w:val="17"/>
          <w:color w:val="auto"/>
        </w:rPr>
        <w:t>The Bank’s Board of Directors (the “Board”) approved a quarterly common dividend of $0.385 per share</w:t>
      </w:r>
      <w:r>
        <w:rPr>
          <w:rFonts w:ascii="Arial" w:cs="Arial" w:eastAsia="Arial" w:hAnsi="Arial"/>
          <w:sz w:val="17"/>
          <w:szCs w:val="17"/>
          <w:b w:val="1"/>
          <w:bCs w:val="1"/>
          <w:color w:val="auto"/>
        </w:rPr>
        <w:t xml:space="preserve"> </w:t>
      </w:r>
      <w:r>
        <w:rPr>
          <w:rFonts w:ascii="Arial" w:cs="Arial" w:eastAsia="Arial" w:hAnsi="Arial"/>
          <w:sz w:val="17"/>
          <w:szCs w:val="17"/>
          <w:color w:val="auto"/>
        </w:rPr>
        <w:t>corresponding to the second quarter 2019. The dividend will be paid on August 14, 2019, to shareholders registered as of July 30, 2019.</w:t>
      </w:r>
    </w:p>
    <w:p>
      <w:pPr>
        <w:ind w:left="660" w:hanging="328"/>
        <w:spacing w:after="0"/>
        <w:tabs>
          <w:tab w:leader="none" w:pos="660" w:val="left"/>
        </w:tabs>
        <w:numPr>
          <w:ilvl w:val="0"/>
          <w:numId w:val="4"/>
        </w:numPr>
        <w:rPr>
          <w:rFonts w:ascii="Arial" w:cs="Arial" w:eastAsia="Arial" w:hAnsi="Arial"/>
          <w:sz w:val="18"/>
          <w:szCs w:val="18"/>
          <w:color w:val="auto"/>
        </w:rPr>
      </w:pPr>
      <w:r>
        <w:rPr>
          <w:rFonts w:ascii="Arial" w:cs="Arial" w:eastAsia="Arial" w:hAnsi="Arial"/>
          <w:sz w:val="18"/>
          <w:szCs w:val="18"/>
          <w:b w:val="1"/>
          <w:bCs w:val="1"/>
          <w:color w:val="auto"/>
        </w:rPr>
        <w:t>Other Corporate actions:</w:t>
      </w:r>
    </w:p>
    <w:p>
      <w:pPr>
        <w:spacing w:after="0" w:line="9" w:lineRule="exact"/>
        <w:rPr>
          <w:rFonts w:ascii="Arial" w:cs="Arial" w:eastAsia="Arial" w:hAnsi="Arial"/>
          <w:sz w:val="18"/>
          <w:szCs w:val="18"/>
          <w:color w:val="auto"/>
        </w:rPr>
      </w:pPr>
    </w:p>
    <w:p>
      <w:pPr>
        <w:jc w:val="both"/>
        <w:ind w:left="980" w:hanging="324"/>
        <w:spacing w:after="0" w:line="254" w:lineRule="auto"/>
        <w:tabs>
          <w:tab w:leader="none" w:pos="980" w:val="left"/>
        </w:tabs>
        <w:numPr>
          <w:ilvl w:val="1"/>
          <w:numId w:val="4"/>
        </w:numPr>
        <w:rPr>
          <w:rFonts w:ascii="Arial" w:cs="Arial" w:eastAsia="Arial" w:hAnsi="Arial"/>
          <w:sz w:val="18"/>
          <w:szCs w:val="18"/>
          <w:color w:val="auto"/>
        </w:rPr>
      </w:pPr>
      <w:r>
        <w:rPr>
          <w:rFonts w:ascii="Arial" w:cs="Arial" w:eastAsia="Arial" w:hAnsi="Arial"/>
          <w:sz w:val="18"/>
          <w:szCs w:val="18"/>
          <w:color w:val="auto"/>
        </w:rPr>
        <w:t>Due to the passing of its Director and Chairman, Mr. Gonzalo Menendez Duque on June 29, 2019, the Board appointed Mr. Miguel Heras Castro, as the new Chairman on July 16, 2019. Mr. Heras has been serving as Director of the Bank, representing Class E shareholders, since 2015 and is a member of the Finance and Business Committee, the Compliance and Anti-Money Laundering Committee and the Risk Policy and Assessment Committee, of which he became the Chairman in 2017.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421005</wp:posOffset>
            </wp:positionV>
            <wp:extent cx="7246620" cy="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5" w:name="page6"/>
    <w:bookmarkEnd w:id="5"/>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9" w:lineRule="exact"/>
        <w:rPr>
          <w:sz w:val="20"/>
          <w:szCs w:val="20"/>
          <w:color w:val="auto"/>
        </w:rPr>
      </w:pPr>
    </w:p>
    <w:p>
      <w:pPr>
        <w:jc w:val="both"/>
        <w:ind w:left="980" w:hanging="324"/>
        <w:spacing w:after="0" w:line="256" w:lineRule="auto"/>
        <w:tabs>
          <w:tab w:leader="none" w:pos="980" w:val="left"/>
        </w:tabs>
        <w:numPr>
          <w:ilvl w:val="1"/>
          <w:numId w:val="5"/>
        </w:numPr>
        <w:rPr>
          <w:rFonts w:ascii="Arial" w:cs="Arial" w:eastAsia="Arial" w:hAnsi="Arial"/>
          <w:sz w:val="18"/>
          <w:szCs w:val="18"/>
          <w:color w:val="auto"/>
        </w:rPr>
      </w:pPr>
      <w:r>
        <w:rPr>
          <w:rFonts w:ascii="Arial" w:cs="Arial" w:eastAsia="Arial" w:hAnsi="Arial"/>
          <w:sz w:val="18"/>
          <w:szCs w:val="18"/>
          <w:color w:val="auto"/>
        </w:rPr>
        <w:t>With the aim of furthering Board’s independence, in line with best market and corporate governance practices, Mr. N. Gabriel Tolchinsky has stepped down as Director of the Bank, representing All Classes of shareholders, on July 16, 2019 and will continue to serve the Bank in his capacity as Chief Executive Officer.</w:t>
      </w:r>
    </w:p>
    <w:p>
      <w:pPr>
        <w:jc w:val="both"/>
        <w:ind w:left="980" w:hanging="324"/>
        <w:spacing w:after="0" w:line="265" w:lineRule="auto"/>
        <w:tabs>
          <w:tab w:leader="none" w:pos="980" w:val="left"/>
        </w:tabs>
        <w:numPr>
          <w:ilvl w:val="1"/>
          <w:numId w:val="5"/>
        </w:numPr>
        <w:rPr>
          <w:rFonts w:ascii="Arial" w:cs="Arial" w:eastAsia="Arial" w:hAnsi="Arial"/>
          <w:sz w:val="17"/>
          <w:szCs w:val="17"/>
          <w:color w:val="auto"/>
        </w:rPr>
      </w:pPr>
      <w:r>
        <w:rPr>
          <w:rFonts w:ascii="Arial" w:cs="Arial" w:eastAsia="Arial" w:hAnsi="Arial"/>
          <w:sz w:val="17"/>
          <w:szCs w:val="17"/>
          <w:color w:val="auto"/>
        </w:rPr>
        <w:t>The Board has appointed Ms. Isela Costantini as new Director, representing All Classes of shareholders, replacing Mr. Tolchinsky in this capacity for the remainder of the term, which expires on April 2021. Ms. Costantini’s appointment follows a thorough selection process conducted by the Compensation Committee of the Board, which started last year, involving several other candidates.</w:t>
      </w:r>
    </w:p>
    <w:p>
      <w:pPr>
        <w:jc w:val="both"/>
        <w:ind w:left="660" w:hanging="328"/>
        <w:spacing w:after="0" w:line="250" w:lineRule="auto"/>
        <w:tabs>
          <w:tab w:leader="none" w:pos="660" w:val="left"/>
        </w:tabs>
        <w:numPr>
          <w:ilvl w:val="0"/>
          <w:numId w:val="5"/>
        </w:numPr>
        <w:rPr>
          <w:rFonts w:ascii="Arial" w:cs="Arial" w:eastAsia="Arial" w:hAnsi="Arial"/>
          <w:sz w:val="18"/>
          <w:szCs w:val="18"/>
          <w:color w:val="auto"/>
        </w:rPr>
      </w:pPr>
      <w:r>
        <w:rPr>
          <w:rFonts w:ascii="Arial" w:cs="Arial" w:eastAsia="Arial" w:hAnsi="Arial"/>
          <w:sz w:val="18"/>
          <w:szCs w:val="18"/>
          <w:b w:val="1"/>
          <w:bCs w:val="1"/>
          <w:color w:val="auto"/>
        </w:rPr>
        <w:t xml:space="preserve">Ratings updates: </w:t>
      </w:r>
      <w:r>
        <w:rPr>
          <w:rFonts w:ascii="Arial" w:cs="Arial" w:eastAsia="Arial" w:hAnsi="Arial"/>
          <w:sz w:val="18"/>
          <w:szCs w:val="18"/>
          <w:color w:val="auto"/>
        </w:rPr>
        <w:t>On July 3, 2019, Fitch Ratings affirmed the Bladex’s long- and short-term foreign currency Issuer Default Rating (“IDR”) at</w:t>
      </w:r>
      <w:r>
        <w:rPr>
          <w:rFonts w:ascii="Arial" w:cs="Arial" w:eastAsia="Arial" w:hAnsi="Arial"/>
          <w:sz w:val="18"/>
          <w:szCs w:val="18"/>
          <w:b w:val="1"/>
          <w:bCs w:val="1"/>
          <w:color w:val="auto"/>
        </w:rPr>
        <w:t xml:space="preserve"> </w:t>
      </w:r>
      <w:r>
        <w:rPr>
          <w:rFonts w:ascii="Arial" w:cs="Arial" w:eastAsia="Arial" w:hAnsi="Arial"/>
          <w:sz w:val="18"/>
          <w:szCs w:val="18"/>
          <w:color w:val="auto"/>
        </w:rPr>
        <w:t>“BBB+/F2”, respectively. The outlook was revised to “Negative” from “Stable” on Fitch Ratings’ view that the Bank’s profile could potentially be affected by the ongoing strategic initiatives to contain the challenging conditions in its main markets and products.</w:t>
      </w:r>
    </w:p>
    <w:p>
      <w:pPr>
        <w:spacing w:after="0" w:line="1" w:lineRule="exact"/>
        <w:rPr>
          <w:rFonts w:ascii="Arial" w:cs="Arial" w:eastAsia="Arial" w:hAnsi="Arial"/>
          <w:sz w:val="18"/>
          <w:szCs w:val="18"/>
          <w:color w:val="auto"/>
        </w:rPr>
      </w:pPr>
    </w:p>
    <w:p>
      <w:pPr>
        <w:ind w:left="660" w:hanging="328"/>
        <w:spacing w:after="0"/>
        <w:tabs>
          <w:tab w:leader="none" w:pos="660" w:val="left"/>
        </w:tabs>
        <w:numPr>
          <w:ilvl w:val="0"/>
          <w:numId w:val="5"/>
        </w:numPr>
        <w:rPr>
          <w:rFonts w:ascii="Arial" w:cs="Arial" w:eastAsia="Arial" w:hAnsi="Arial"/>
          <w:sz w:val="16"/>
          <w:szCs w:val="16"/>
          <w:color w:val="auto"/>
        </w:rPr>
      </w:pPr>
      <w:r>
        <w:rPr>
          <w:rFonts w:ascii="Arial" w:cs="Arial" w:eastAsia="Arial" w:hAnsi="Arial"/>
          <w:sz w:val="16"/>
          <w:szCs w:val="16"/>
          <w:b w:val="1"/>
          <w:bCs w:val="1"/>
          <w:color w:val="auto"/>
        </w:rPr>
        <w:t xml:space="preserve">Annual Shareholders’ Meeting Results: </w:t>
      </w:r>
      <w:r>
        <w:rPr>
          <w:rFonts w:ascii="Arial" w:cs="Arial" w:eastAsia="Arial" w:hAnsi="Arial"/>
          <w:sz w:val="16"/>
          <w:szCs w:val="16"/>
          <w:color w:val="auto"/>
        </w:rPr>
        <w:t>At the Annual Shareholders’ Meeting held on April 17, 2019, in Panama City, Panama, shareholders:</w:t>
      </w:r>
    </w:p>
    <w:p>
      <w:pPr>
        <w:spacing w:after="0" w:line="32" w:lineRule="exact"/>
        <w:rPr>
          <w:rFonts w:ascii="Arial" w:cs="Arial" w:eastAsia="Arial" w:hAnsi="Arial"/>
          <w:sz w:val="16"/>
          <w:szCs w:val="16"/>
          <w:color w:val="auto"/>
        </w:rPr>
      </w:pPr>
    </w:p>
    <w:p>
      <w:pPr>
        <w:ind w:left="980" w:hanging="324"/>
        <w:spacing w:after="0"/>
        <w:tabs>
          <w:tab w:leader="none" w:pos="980" w:val="left"/>
        </w:tabs>
        <w:numPr>
          <w:ilvl w:val="1"/>
          <w:numId w:val="6"/>
        </w:numPr>
        <w:rPr>
          <w:rFonts w:ascii="Arial" w:cs="Arial" w:eastAsia="Arial" w:hAnsi="Arial"/>
          <w:sz w:val="18"/>
          <w:szCs w:val="18"/>
          <w:color w:val="auto"/>
        </w:rPr>
      </w:pPr>
      <w:r>
        <w:rPr>
          <w:rFonts w:ascii="Arial" w:cs="Arial" w:eastAsia="Arial" w:hAnsi="Arial"/>
          <w:sz w:val="18"/>
          <w:szCs w:val="18"/>
          <w:color w:val="auto"/>
        </w:rPr>
        <w:t>Approved the Bank’s audited consolidated financial statements for the fiscal year ended December 31, 2018.</w:t>
      </w:r>
    </w:p>
    <w:p>
      <w:pPr>
        <w:spacing w:after="0" w:line="9" w:lineRule="exact"/>
        <w:rPr>
          <w:rFonts w:ascii="Arial" w:cs="Arial" w:eastAsia="Arial" w:hAnsi="Arial"/>
          <w:sz w:val="18"/>
          <w:szCs w:val="18"/>
          <w:color w:val="auto"/>
        </w:rPr>
      </w:pPr>
    </w:p>
    <w:p>
      <w:pPr>
        <w:ind w:left="980" w:hanging="324"/>
        <w:spacing w:after="0"/>
        <w:tabs>
          <w:tab w:leader="none" w:pos="980" w:val="left"/>
        </w:tabs>
        <w:numPr>
          <w:ilvl w:val="1"/>
          <w:numId w:val="6"/>
        </w:numPr>
        <w:rPr>
          <w:rFonts w:ascii="Arial" w:cs="Arial" w:eastAsia="Arial" w:hAnsi="Arial"/>
          <w:sz w:val="16"/>
          <w:szCs w:val="16"/>
          <w:color w:val="auto"/>
        </w:rPr>
      </w:pPr>
      <w:r>
        <w:rPr>
          <w:rFonts w:ascii="Arial" w:cs="Arial" w:eastAsia="Arial" w:hAnsi="Arial"/>
          <w:sz w:val="16"/>
          <w:szCs w:val="16"/>
          <w:color w:val="auto"/>
        </w:rPr>
        <w:t>Ratified the appointment of KPMG as the Bank’s independent registered public accounting firm for the fiscal year ending December 31, 2019.</w:t>
      </w:r>
    </w:p>
    <w:p>
      <w:pPr>
        <w:spacing w:after="0" w:line="32" w:lineRule="exact"/>
        <w:rPr>
          <w:rFonts w:ascii="Arial" w:cs="Arial" w:eastAsia="Arial" w:hAnsi="Arial"/>
          <w:sz w:val="16"/>
          <w:szCs w:val="16"/>
          <w:color w:val="auto"/>
        </w:rPr>
      </w:pPr>
    </w:p>
    <w:p>
      <w:pPr>
        <w:ind w:left="980" w:hanging="324"/>
        <w:spacing w:after="0" w:line="265" w:lineRule="auto"/>
        <w:tabs>
          <w:tab w:leader="none" w:pos="980" w:val="left"/>
        </w:tabs>
        <w:numPr>
          <w:ilvl w:val="1"/>
          <w:numId w:val="6"/>
        </w:numPr>
        <w:rPr>
          <w:rFonts w:ascii="Arial" w:cs="Arial" w:eastAsia="Arial" w:hAnsi="Arial"/>
          <w:sz w:val="17"/>
          <w:szCs w:val="17"/>
          <w:color w:val="auto"/>
        </w:rPr>
      </w:pPr>
      <w:r>
        <w:rPr>
          <w:rFonts w:ascii="Arial" w:cs="Arial" w:eastAsia="Arial" w:hAnsi="Arial"/>
          <w:sz w:val="17"/>
          <w:szCs w:val="17"/>
          <w:color w:val="auto"/>
        </w:rPr>
        <w:t>Re-elected Mr. João Carlos de Nóbrega Pecego as Director representing Class “A” shares of the Bank’s common stock, and Messrs. Ricardo Manuel Arango, Herminio A. Blanco and Roland Holst as Directors representing Class “E” shares of the Bank’s common stock.</w:t>
      </w:r>
    </w:p>
    <w:p>
      <w:pPr>
        <w:ind w:left="980" w:hanging="324"/>
        <w:spacing w:after="0"/>
        <w:tabs>
          <w:tab w:leader="none" w:pos="980" w:val="left"/>
        </w:tabs>
        <w:numPr>
          <w:ilvl w:val="1"/>
          <w:numId w:val="6"/>
        </w:numPr>
        <w:rPr>
          <w:rFonts w:ascii="Arial" w:cs="Arial" w:eastAsia="Arial" w:hAnsi="Arial"/>
          <w:sz w:val="18"/>
          <w:szCs w:val="18"/>
          <w:color w:val="auto"/>
        </w:rPr>
      </w:pPr>
      <w:r>
        <w:rPr>
          <w:rFonts w:ascii="Arial" w:cs="Arial" w:eastAsia="Arial" w:hAnsi="Arial"/>
          <w:sz w:val="18"/>
          <w:szCs w:val="18"/>
          <w:color w:val="auto"/>
        </w:rPr>
        <w:t>Approved, on an advisory basis, the compensation of the Bank’s executive officers.</w:t>
      </w:r>
    </w:p>
    <w:p>
      <w:pPr>
        <w:spacing w:after="0" w:line="20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w:t>
      </w:r>
    </w:p>
    <w:p>
      <w:pPr>
        <w:spacing w:after="0" w:line="229" w:lineRule="exact"/>
        <w:rPr>
          <w:sz w:val="20"/>
          <w:szCs w:val="20"/>
          <w:color w:val="auto"/>
        </w:rPr>
      </w:pPr>
    </w:p>
    <w:p>
      <w:pPr>
        <w:ind w:left="660" w:hanging="328"/>
        <w:spacing w:after="0"/>
        <w:tabs>
          <w:tab w:leader="none" w:pos="660" w:val="left"/>
        </w:tabs>
        <w:numPr>
          <w:ilvl w:val="0"/>
          <w:numId w:val="7"/>
        </w:numPr>
        <w:rPr>
          <w:rFonts w:ascii="Arial" w:cs="Arial" w:eastAsia="Arial" w:hAnsi="Arial"/>
          <w:sz w:val="18"/>
          <w:szCs w:val="18"/>
          <w:color w:val="auto"/>
        </w:rPr>
      </w:pPr>
      <w:r>
        <w:rPr>
          <w:rFonts w:ascii="Arial" w:cs="Arial" w:eastAsia="Arial" w:hAnsi="Arial"/>
          <w:sz w:val="18"/>
          <w:szCs w:val="18"/>
          <w:color w:val="auto"/>
        </w:rPr>
        <w:t>Numbers and percentages set forth in this earnings release have been rounded and accordingly may not total exactly.</w:t>
      </w:r>
    </w:p>
    <w:p>
      <w:pPr>
        <w:spacing w:after="0" w:line="225" w:lineRule="exact"/>
        <w:rPr>
          <w:rFonts w:ascii="Arial" w:cs="Arial" w:eastAsia="Arial" w:hAnsi="Arial"/>
          <w:sz w:val="18"/>
          <w:szCs w:val="18"/>
          <w:color w:val="auto"/>
        </w:rPr>
      </w:pPr>
    </w:p>
    <w:p>
      <w:pPr>
        <w:ind w:left="660" w:hanging="328"/>
        <w:spacing w:after="0"/>
        <w:tabs>
          <w:tab w:leader="none" w:pos="660" w:val="left"/>
        </w:tabs>
        <w:numPr>
          <w:ilvl w:val="0"/>
          <w:numId w:val="7"/>
        </w:numPr>
        <w:rPr>
          <w:rFonts w:ascii="Arial" w:cs="Arial" w:eastAsia="Arial" w:hAnsi="Arial"/>
          <w:sz w:val="18"/>
          <w:szCs w:val="18"/>
          <w:color w:val="auto"/>
        </w:rPr>
      </w:pPr>
      <w:r>
        <w:rPr>
          <w:rFonts w:ascii="Arial" w:cs="Arial" w:eastAsia="Arial" w:hAnsi="Arial"/>
          <w:sz w:val="18"/>
          <w:szCs w:val="18"/>
          <w:color w:val="auto"/>
        </w:rPr>
        <w:t>QoQ and YoY refer to quarter-on-quarter and year-on-year variations, respectively.</w:t>
      </w:r>
    </w:p>
    <w:p>
      <w:pPr>
        <w:spacing w:after="0" w:line="22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Footnotes:</w:t>
      </w:r>
    </w:p>
    <w:p>
      <w:pPr>
        <w:spacing w:after="0" w:line="229" w:lineRule="exact"/>
        <w:rPr>
          <w:sz w:val="20"/>
          <w:szCs w:val="20"/>
          <w:color w:val="auto"/>
        </w:rPr>
      </w:pPr>
    </w:p>
    <w:p>
      <w:pPr>
        <w:ind w:left="660" w:hanging="328"/>
        <w:spacing w:after="0"/>
        <w:tabs>
          <w:tab w:leader="none" w:pos="660" w:val="left"/>
        </w:tabs>
        <w:numPr>
          <w:ilvl w:val="0"/>
          <w:numId w:val="8"/>
        </w:numPr>
        <w:rPr>
          <w:rFonts w:ascii="Arial" w:cs="Arial" w:eastAsia="Arial" w:hAnsi="Arial"/>
          <w:sz w:val="18"/>
          <w:szCs w:val="18"/>
          <w:color w:val="auto"/>
        </w:rPr>
      </w:pPr>
      <w:r>
        <w:rPr>
          <w:rFonts w:ascii="Arial" w:cs="Arial" w:eastAsia="Arial" w:hAnsi="Arial"/>
          <w:sz w:val="18"/>
          <w:szCs w:val="18"/>
          <w:color w:val="auto"/>
        </w:rPr>
        <w:t>Earnings per Share (“EPS”) calculation is based on the average number of shares outstanding during each period.</w:t>
      </w:r>
    </w:p>
    <w:p>
      <w:pPr>
        <w:spacing w:after="0" w:line="225" w:lineRule="exact"/>
        <w:rPr>
          <w:rFonts w:ascii="Arial" w:cs="Arial" w:eastAsia="Arial" w:hAnsi="Arial"/>
          <w:sz w:val="18"/>
          <w:szCs w:val="18"/>
          <w:color w:val="auto"/>
        </w:rPr>
      </w:pPr>
    </w:p>
    <w:p>
      <w:pPr>
        <w:ind w:left="660" w:hanging="328"/>
        <w:spacing w:after="0"/>
        <w:tabs>
          <w:tab w:leader="none" w:pos="660" w:val="left"/>
        </w:tabs>
        <w:numPr>
          <w:ilvl w:val="0"/>
          <w:numId w:val="8"/>
        </w:numPr>
        <w:rPr>
          <w:rFonts w:ascii="Arial" w:cs="Arial" w:eastAsia="Arial" w:hAnsi="Arial"/>
          <w:sz w:val="18"/>
          <w:szCs w:val="18"/>
          <w:color w:val="auto"/>
        </w:rPr>
      </w:pPr>
      <w:r>
        <w:rPr>
          <w:rFonts w:ascii="Arial" w:cs="Arial" w:eastAsia="Arial" w:hAnsi="Arial"/>
          <w:sz w:val="18"/>
          <w:szCs w:val="18"/>
          <w:color w:val="auto"/>
        </w:rPr>
        <w:t>ROAE refers to return on average stockholders’ equity which is calculated on the basis of unaudited daily average balances.</w:t>
      </w:r>
    </w:p>
    <w:p>
      <w:pPr>
        <w:spacing w:after="0" w:line="225" w:lineRule="exact"/>
        <w:rPr>
          <w:rFonts w:ascii="Arial" w:cs="Arial" w:eastAsia="Arial" w:hAnsi="Arial"/>
          <w:sz w:val="18"/>
          <w:szCs w:val="18"/>
          <w:color w:val="auto"/>
        </w:rPr>
      </w:pPr>
    </w:p>
    <w:p>
      <w:pPr>
        <w:ind w:left="660" w:hanging="328"/>
        <w:spacing w:after="0"/>
        <w:tabs>
          <w:tab w:leader="none" w:pos="660" w:val="left"/>
        </w:tabs>
        <w:numPr>
          <w:ilvl w:val="0"/>
          <w:numId w:val="8"/>
        </w:numPr>
        <w:rPr>
          <w:rFonts w:ascii="Arial" w:cs="Arial" w:eastAsia="Arial" w:hAnsi="Arial"/>
          <w:sz w:val="18"/>
          <w:szCs w:val="18"/>
          <w:color w:val="auto"/>
        </w:rPr>
      </w:pPr>
      <w:r>
        <w:rPr>
          <w:rFonts w:ascii="Arial" w:cs="Arial" w:eastAsia="Arial" w:hAnsi="Arial"/>
          <w:sz w:val="18"/>
          <w:szCs w:val="18"/>
          <w:color w:val="auto"/>
        </w:rPr>
        <w:t>NIM refers to net interest margin which constitutes to net interest income divided by the average balance of interest-earning assets.</w:t>
      </w:r>
    </w:p>
    <w:p>
      <w:pPr>
        <w:spacing w:after="0" w:line="225" w:lineRule="exact"/>
        <w:rPr>
          <w:rFonts w:ascii="Arial" w:cs="Arial" w:eastAsia="Arial" w:hAnsi="Arial"/>
          <w:sz w:val="18"/>
          <w:szCs w:val="18"/>
          <w:color w:val="auto"/>
        </w:rPr>
      </w:pPr>
    </w:p>
    <w:p>
      <w:pPr>
        <w:ind w:left="660" w:hanging="328"/>
        <w:spacing w:after="0" w:line="277" w:lineRule="auto"/>
        <w:tabs>
          <w:tab w:leader="none" w:pos="660" w:val="left"/>
        </w:tabs>
        <w:numPr>
          <w:ilvl w:val="0"/>
          <w:numId w:val="8"/>
        </w:numPr>
        <w:rPr>
          <w:rFonts w:ascii="Arial" w:cs="Arial" w:eastAsia="Arial" w:hAnsi="Arial"/>
          <w:sz w:val="18"/>
          <w:szCs w:val="18"/>
          <w:color w:val="auto"/>
        </w:rPr>
      </w:pPr>
      <w:r>
        <w:rPr>
          <w:rFonts w:ascii="Arial" w:cs="Arial" w:eastAsia="Arial" w:hAnsi="Arial"/>
          <w:sz w:val="18"/>
          <w:szCs w:val="18"/>
          <w:color w:val="auto"/>
        </w:rPr>
        <w:t>NIS refers to net interest spread which constitutes the average yield earned on interest-earning assets, less the average yield paid on interest-bearing liabilities.</w:t>
      </w:r>
    </w:p>
    <w:p>
      <w:pPr>
        <w:spacing w:after="0" w:line="170" w:lineRule="exact"/>
        <w:rPr>
          <w:rFonts w:ascii="Arial" w:cs="Arial" w:eastAsia="Arial" w:hAnsi="Arial"/>
          <w:sz w:val="18"/>
          <w:szCs w:val="18"/>
          <w:color w:val="auto"/>
        </w:rPr>
      </w:pPr>
    </w:p>
    <w:p>
      <w:pPr>
        <w:ind w:left="660" w:hanging="328"/>
        <w:spacing w:after="0"/>
        <w:tabs>
          <w:tab w:leader="none" w:pos="660" w:val="left"/>
        </w:tabs>
        <w:numPr>
          <w:ilvl w:val="0"/>
          <w:numId w:val="8"/>
        </w:numPr>
        <w:rPr>
          <w:rFonts w:ascii="Arial" w:cs="Arial" w:eastAsia="Arial" w:hAnsi="Arial"/>
          <w:sz w:val="18"/>
          <w:szCs w:val="18"/>
          <w:color w:val="auto"/>
        </w:rPr>
      </w:pPr>
      <w:r>
        <w:rPr>
          <w:rFonts w:ascii="Arial" w:cs="Arial" w:eastAsia="Arial" w:hAnsi="Arial"/>
          <w:sz w:val="18"/>
          <w:szCs w:val="18"/>
          <w:color w:val="auto"/>
        </w:rPr>
        <w:t>Efficiency Ratio refers to consolidated operating expenses as a percentage of total revenues.</w:t>
      </w:r>
    </w:p>
    <w:p>
      <w:pPr>
        <w:spacing w:after="0" w:line="225" w:lineRule="exact"/>
        <w:rPr>
          <w:rFonts w:ascii="Arial" w:cs="Arial" w:eastAsia="Arial" w:hAnsi="Arial"/>
          <w:sz w:val="18"/>
          <w:szCs w:val="18"/>
          <w:color w:val="auto"/>
        </w:rPr>
      </w:pPr>
    </w:p>
    <w:p>
      <w:pPr>
        <w:jc w:val="both"/>
        <w:ind w:left="660" w:hanging="328"/>
        <w:spacing w:after="0" w:line="264" w:lineRule="auto"/>
        <w:tabs>
          <w:tab w:leader="none" w:pos="660" w:val="left"/>
        </w:tabs>
        <w:numPr>
          <w:ilvl w:val="0"/>
          <w:numId w:val="8"/>
        </w:numPr>
        <w:rPr>
          <w:rFonts w:ascii="Arial" w:cs="Arial" w:eastAsia="Arial" w:hAnsi="Arial"/>
          <w:sz w:val="18"/>
          <w:szCs w:val="18"/>
          <w:color w:val="auto"/>
        </w:rPr>
      </w:pPr>
      <w:r>
        <w:rPr>
          <w:rFonts w:ascii="Arial" w:cs="Arial" w:eastAsia="Arial" w:hAnsi="Arial"/>
          <w:sz w:val="18"/>
          <w:szCs w:val="18"/>
          <w:color w:val="auto"/>
        </w:rPr>
        <w:t>The Bank’s “Commercial Portfolio” includes gross loans (or the “Loan Portfolio”), loan commitments and financial guarantee contracts, such as issued and confirmed letters of credit, stand-by letters of credit, guarantees covering commercial risk and other assets consisting of customers’ liabilities under acceptances.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415925</wp:posOffset>
            </wp:positionV>
            <wp:extent cx="7246620" cy="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6" w:name="page7"/>
    <w:bookmarkEnd w:id="6"/>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9" w:lineRule="exact"/>
        <w:rPr>
          <w:sz w:val="20"/>
          <w:szCs w:val="20"/>
          <w:color w:val="auto"/>
        </w:rPr>
      </w:pPr>
    </w:p>
    <w:p>
      <w:pPr>
        <w:ind w:left="660" w:hanging="328"/>
        <w:spacing w:after="0"/>
        <w:tabs>
          <w:tab w:leader="none" w:pos="660" w:val="left"/>
        </w:tabs>
        <w:numPr>
          <w:ilvl w:val="0"/>
          <w:numId w:val="9"/>
        </w:numPr>
        <w:rPr>
          <w:rFonts w:ascii="Arial" w:cs="Arial" w:eastAsia="Arial" w:hAnsi="Arial"/>
          <w:sz w:val="16"/>
          <w:szCs w:val="16"/>
          <w:color w:val="auto"/>
        </w:rPr>
      </w:pPr>
      <w:r>
        <w:rPr>
          <w:rFonts w:ascii="Arial" w:cs="Arial" w:eastAsia="Arial" w:hAnsi="Arial"/>
          <w:sz w:val="16"/>
          <w:szCs w:val="16"/>
          <w:color w:val="auto"/>
        </w:rPr>
        <w:t>Market capitalization corresponds to total outstanding common shares multiplied by market close price at the end of each corresponding period.</w:t>
      </w:r>
    </w:p>
    <w:p>
      <w:pPr>
        <w:spacing w:after="0" w:line="248" w:lineRule="exact"/>
        <w:rPr>
          <w:rFonts w:ascii="Arial" w:cs="Arial" w:eastAsia="Arial" w:hAnsi="Arial"/>
          <w:sz w:val="16"/>
          <w:szCs w:val="16"/>
          <w:color w:val="auto"/>
        </w:rPr>
      </w:pPr>
    </w:p>
    <w:p>
      <w:pPr>
        <w:jc w:val="both"/>
        <w:ind w:left="660" w:hanging="328"/>
        <w:spacing w:after="0" w:line="264" w:lineRule="auto"/>
        <w:tabs>
          <w:tab w:leader="none" w:pos="660" w:val="left"/>
        </w:tabs>
        <w:numPr>
          <w:ilvl w:val="0"/>
          <w:numId w:val="9"/>
        </w:numPr>
        <w:rPr>
          <w:rFonts w:ascii="Arial" w:cs="Arial" w:eastAsia="Arial" w:hAnsi="Arial"/>
          <w:sz w:val="18"/>
          <w:szCs w:val="18"/>
          <w:color w:val="auto"/>
        </w:rPr>
      </w:pPr>
      <w:r>
        <w:rPr>
          <w:rFonts w:ascii="Arial" w:cs="Arial" w:eastAsia="Arial" w:hAnsi="Arial"/>
          <w:sz w:val="18"/>
          <w:szCs w:val="18"/>
          <w:color w:val="auto"/>
        </w:rPr>
        <w:t>Tier 1 Capital is calculated according to Basel III capital adequacy guidelines, and is equivalent to stockholders’ equity excluding certain effects such as the OCI effect of the financial instruments at fair value through OCI. Tier 1 Capital ratio is calculated as a percentage of risk-weighted assets. Risk-weighted assets are estimated based on Basel III capital adequacy guidelines.</w:t>
      </w:r>
    </w:p>
    <w:p>
      <w:pPr>
        <w:spacing w:after="0" w:line="181" w:lineRule="exact"/>
        <w:rPr>
          <w:rFonts w:ascii="Arial" w:cs="Arial" w:eastAsia="Arial" w:hAnsi="Arial"/>
          <w:sz w:val="18"/>
          <w:szCs w:val="18"/>
          <w:color w:val="auto"/>
        </w:rPr>
      </w:pPr>
    </w:p>
    <w:p>
      <w:pPr>
        <w:ind w:left="660" w:right="20" w:hanging="328"/>
        <w:spacing w:after="0" w:line="277" w:lineRule="auto"/>
        <w:tabs>
          <w:tab w:leader="none" w:pos="660" w:val="left"/>
        </w:tabs>
        <w:numPr>
          <w:ilvl w:val="0"/>
          <w:numId w:val="9"/>
        </w:numPr>
        <w:rPr>
          <w:rFonts w:ascii="Arial" w:cs="Arial" w:eastAsia="Arial" w:hAnsi="Arial"/>
          <w:sz w:val="18"/>
          <w:szCs w:val="18"/>
          <w:color w:val="auto"/>
        </w:rPr>
      </w:pPr>
      <w:r>
        <w:rPr>
          <w:rFonts w:ascii="Arial" w:cs="Arial" w:eastAsia="Arial" w:hAnsi="Arial"/>
          <w:sz w:val="18"/>
          <w:szCs w:val="18"/>
          <w:color w:val="auto"/>
        </w:rPr>
        <w:t>Liquid assets refer to total cash and cash equivalents, consisting of cash and due from banks, and interest-bearing deposits in banks, excluding pledged deposits and margin calls. Liquidity ratio refers to liquid assets as a percentage of total assets.</w:t>
      </w:r>
    </w:p>
    <w:p>
      <w:pPr>
        <w:spacing w:after="0" w:line="170" w:lineRule="exact"/>
        <w:rPr>
          <w:rFonts w:ascii="Arial" w:cs="Arial" w:eastAsia="Arial" w:hAnsi="Arial"/>
          <w:sz w:val="18"/>
          <w:szCs w:val="18"/>
          <w:color w:val="auto"/>
        </w:rPr>
      </w:pPr>
    </w:p>
    <w:p>
      <w:pPr>
        <w:ind w:left="660" w:hanging="328"/>
        <w:spacing w:after="0" w:line="277" w:lineRule="auto"/>
        <w:tabs>
          <w:tab w:leader="none" w:pos="660" w:val="left"/>
        </w:tabs>
        <w:numPr>
          <w:ilvl w:val="0"/>
          <w:numId w:val="9"/>
        </w:numPr>
        <w:rPr>
          <w:rFonts w:ascii="Arial" w:cs="Arial" w:eastAsia="Arial" w:hAnsi="Arial"/>
          <w:sz w:val="18"/>
          <w:szCs w:val="18"/>
          <w:color w:val="auto"/>
        </w:rPr>
      </w:pPr>
      <w:r>
        <w:rPr>
          <w:rFonts w:ascii="Arial" w:cs="Arial" w:eastAsia="Arial" w:hAnsi="Arial"/>
          <w:sz w:val="18"/>
          <w:szCs w:val="18"/>
          <w:color w:val="auto"/>
        </w:rPr>
        <w:t>Credit-impaired loans are also commonly referred to as Non-Performing Loans or NPLs. Loan Portfolio refers to gross loans, excluding interest receivable, the allowance for loan losses, and unearned interest and deferred fees.</w:t>
      </w:r>
    </w:p>
    <w:p>
      <w:pPr>
        <w:spacing w:after="0" w:line="170" w:lineRule="exact"/>
        <w:rPr>
          <w:rFonts w:ascii="Arial" w:cs="Arial" w:eastAsia="Arial" w:hAnsi="Arial"/>
          <w:sz w:val="18"/>
          <w:szCs w:val="18"/>
          <w:color w:val="auto"/>
        </w:rPr>
      </w:pPr>
    </w:p>
    <w:p>
      <w:pPr>
        <w:ind w:left="660" w:hanging="328"/>
        <w:spacing w:after="0"/>
        <w:tabs>
          <w:tab w:leader="none" w:pos="660" w:val="left"/>
        </w:tabs>
        <w:numPr>
          <w:ilvl w:val="0"/>
          <w:numId w:val="9"/>
        </w:numPr>
        <w:rPr>
          <w:rFonts w:ascii="Arial" w:cs="Arial" w:eastAsia="Arial" w:hAnsi="Arial"/>
          <w:sz w:val="17"/>
          <w:szCs w:val="17"/>
          <w:color w:val="auto"/>
        </w:rPr>
      </w:pPr>
      <w:r>
        <w:rPr>
          <w:rFonts w:ascii="Arial" w:cs="Arial" w:eastAsia="Arial" w:hAnsi="Arial"/>
          <w:sz w:val="17"/>
          <w:szCs w:val="17"/>
          <w:color w:val="auto"/>
        </w:rPr>
        <w:t>Total allowance for losses refers to allowance for loan losses plus allowance for loan commitments and financial guarantee contract losses.</w:t>
      </w:r>
    </w:p>
    <w:p>
      <w:pPr>
        <w:spacing w:after="0" w:line="23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SAFE HARBOR STATEMENT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154940</wp:posOffset>
            </wp:positionV>
            <wp:extent cx="7246620" cy="214376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246620" cy="2143760"/>
                    </a:xfrm>
                    <a:prstGeom prst="rect">
                      <a:avLst/>
                    </a:prstGeom>
                    <a:noFill/>
                  </pic:spPr>
                </pic:pic>
              </a:graphicData>
            </a:graphic>
          </wp:anchor>
        </w:drawing>
      </w:r>
    </w:p>
    <w:p>
      <w:pPr>
        <w:spacing w:after="0" w:line="277" w:lineRule="exact"/>
        <w:rPr>
          <w:sz w:val="20"/>
          <w:szCs w:val="20"/>
          <w:color w:val="auto"/>
        </w:rPr>
      </w:pPr>
    </w:p>
    <w:p>
      <w:pPr>
        <w:jc w:val="both"/>
        <w:ind w:left="80" w:right="60"/>
        <w:spacing w:after="0" w:line="286" w:lineRule="auto"/>
        <w:rPr>
          <w:sz w:val="20"/>
          <w:szCs w:val="20"/>
          <w:color w:val="auto"/>
        </w:rPr>
      </w:pPr>
      <w:r>
        <w:rPr>
          <w:rFonts w:ascii="Arial" w:cs="Arial" w:eastAsia="Arial" w:hAnsi="Arial"/>
          <w:sz w:val="16"/>
          <w:szCs w:val="16"/>
          <w:i w:val="1"/>
          <w:iCs w:val="1"/>
          <w:color w:val="auto"/>
        </w:rPr>
        <w:t>This press release contains forward-looking statements of expected future developments within the meaning of the Private Securities Litigation Reform Act of 1995. The forward-looking statements in this press release include the growth of the credit portfolio, including the trade portfolio, the increase in the number of the Bank’s corporate clients, the trend of lending spreads, changes in activities engaged in by the Bank that are derived from the Bank’s client base, anticipated operating results and return on equity in future periods, including income derived from the Treasury Business Segment, and changes in the financial and performance strength of the Bank. These forward-looking statements reflect the expectations of the Bank’s management and are based on currently available data; however, actual performance and results are subject to future events and uncertainties, which could materially impact the Bank’s expectations. Among the factors that can cause actual performance and results to differ materially are as follows: the anticipated changes in the Bank’s credit portfolio; the continuation of the Bank’s preferred creditor status; the impact of increasing/decreasing interest rates and of the macroeconomic environment in the Region on the Bank’s financial condition; the execution of the Bank’s strategies and initiatives, including its revenue diversification strategy; the adequacy of the Bank’s allowance for expected credit losses; the need for additional allowance for expected credit losses; the Bank’s ability to achieve future growth, to reduce its liquidity levels and increase its leverage; the Bank’s ability to maintain its investment-grade credit ratings; the availability and mix of future sources of funding for the Bank’s lending operations; potential trading losses; the possibility of fraud; and the adequacy of the Bank’s sources of liquidity to replace deposit withdrawals. Factors or events that could cause our actual results to differ may emerge from time to time, and it is not possible for us to predict all of them. We undertake no obligation to publicly update any forward-looking statement, whether as a result of new information, future developments or otherwise, except as may be required by law.</w:t>
      </w:r>
    </w:p>
    <w:p>
      <w:pPr>
        <w:spacing w:after="0" w:line="23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ABOUT BLADEX</w:t>
      </w:r>
    </w:p>
    <w:p>
      <w:pPr>
        <w:spacing w:after="0" w:line="229" w:lineRule="exact"/>
        <w:rPr>
          <w:sz w:val="20"/>
          <w:szCs w:val="20"/>
          <w:color w:val="auto"/>
        </w:rPr>
      </w:pPr>
    </w:p>
    <w:p>
      <w:pPr>
        <w:jc w:val="both"/>
        <w:ind w:right="20"/>
        <w:spacing w:after="0" w:line="312" w:lineRule="auto"/>
        <w:rPr>
          <w:sz w:val="20"/>
          <w:szCs w:val="20"/>
          <w:color w:val="auto"/>
        </w:rPr>
      </w:pPr>
      <w:r>
        <w:rPr>
          <w:rFonts w:ascii="Arial" w:cs="Arial" w:eastAsia="Arial" w:hAnsi="Arial"/>
          <w:sz w:val="16"/>
          <w:szCs w:val="16"/>
          <w:color w:val="auto"/>
        </w:rPr>
        <w:t>Bladex, a multinational bank originally established by the central banks of Latin-American and Caribbean countries, began operations in 1979 to promote foreign trade and economic integration in the Region. The Bank, headquartered in Panama, also has offices in Argentina, Brazil, Colombia, Mexico, Peru, and the United States of America, supporting the regional expansion and servicing its customer base, which includes financial institutions and corporations.</w:t>
      </w:r>
    </w:p>
    <w:p>
      <w:pPr>
        <w:spacing w:after="0" w:line="147"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Bladex is listed on the NYSE in the United States of America (NYSE: BLX), since 1992, and its shareholders include: central banks and state-owned banks and entities representing 23 Latin American countries; commercial banks and financial institutions; and institutional and retail investors through its public listing.</w:t>
      </w:r>
    </w:p>
    <w:p>
      <w:pPr>
        <w:spacing w:after="0" w:line="17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CONFERENCE CALL INFORMATION</w:t>
      </w:r>
    </w:p>
    <w:p>
      <w:pPr>
        <w:spacing w:after="0" w:line="229"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 xml:space="preserve">There will be a conference call to discuss the Bank’s quarterly results on Friday, July 19, 2019 at 11:00 a.m. New York City time (Eastern Standard Time). For those interested in participating, please dial (800) 311-9401 in the United States or, if outside the United States, (334) 323-7224. Participants should use conference ID# 8034, and dial in five minutes before the call is set to begin. There will also be a live audio webcast of the conference at </w:t>
      </w:r>
      <w:r>
        <w:rPr>
          <w:rFonts w:ascii="Arial" w:cs="Arial" w:eastAsia="Arial" w:hAnsi="Arial"/>
          <w:sz w:val="17"/>
          <w:szCs w:val="17"/>
          <w:u w:val="single" w:color="auto"/>
          <w:color w:val="auto"/>
        </w:rPr>
        <w:t>http://www.bladex.com</w:t>
      </w:r>
      <w:r>
        <w:rPr>
          <w:rFonts w:ascii="Arial" w:cs="Arial" w:eastAsia="Arial" w:hAnsi="Arial"/>
          <w:sz w:val="17"/>
          <w:szCs w:val="17"/>
          <w:color w:val="auto"/>
        </w:rPr>
        <w:t xml:space="preserve">. The webcast presentation will be available for viewing and downloads on </w:t>
      </w:r>
      <w:r>
        <w:rPr>
          <w:rFonts w:ascii="Arial" w:cs="Arial" w:eastAsia="Arial" w:hAnsi="Arial"/>
          <w:sz w:val="17"/>
          <w:szCs w:val="17"/>
          <w:u w:val="single" w:color="auto"/>
          <w:color w:val="auto"/>
        </w:rPr>
        <w:t>http://www.bladex.com</w:t>
      </w:r>
      <w:r>
        <w:rPr>
          <w:rFonts w:ascii="Arial" w:cs="Arial" w:eastAsia="Arial" w:hAnsi="Arial"/>
          <w:sz w:val="17"/>
          <w:szCs w:val="17"/>
          <w:color w:val="auto"/>
        </w:rPr>
        <w: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409575</wp:posOffset>
            </wp:positionV>
            <wp:extent cx="7246620" cy="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7" w:name="page8"/>
    <w:bookmarkEnd w:id="7"/>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9" w:lineRule="exact"/>
        <w:rPr>
          <w:sz w:val="20"/>
          <w:szCs w:val="20"/>
          <w:color w:val="auto"/>
        </w:rPr>
      </w:pPr>
    </w:p>
    <w:p>
      <w:pPr>
        <w:spacing w:after="0"/>
        <w:rPr>
          <w:sz w:val="20"/>
          <w:szCs w:val="20"/>
          <w:color w:val="auto"/>
        </w:rPr>
      </w:pPr>
      <w:r>
        <w:rPr>
          <w:rFonts w:ascii="Arial" w:cs="Arial" w:eastAsia="Arial" w:hAnsi="Arial"/>
          <w:sz w:val="16"/>
          <w:szCs w:val="16"/>
          <w:color w:val="auto"/>
        </w:rPr>
        <w:t>The conference call will become available for review on Conference Replay one hour after its conclusion, and will remain available for 60 days. Please dial</w:t>
      </w:r>
    </w:p>
    <w:p>
      <w:pPr>
        <w:spacing w:after="0" w:line="46" w:lineRule="exact"/>
        <w:rPr>
          <w:sz w:val="20"/>
          <w:szCs w:val="20"/>
          <w:color w:val="auto"/>
        </w:rPr>
      </w:pPr>
    </w:p>
    <w:p>
      <w:pPr>
        <w:ind w:right="4320" w:firstLine="8"/>
        <w:spacing w:after="0" w:line="492" w:lineRule="auto"/>
        <w:tabs>
          <w:tab w:leader="none" w:pos="435" w:val="left"/>
        </w:tabs>
        <w:numPr>
          <w:ilvl w:val="0"/>
          <w:numId w:val="10"/>
        </w:numPr>
        <w:rPr>
          <w:rFonts w:ascii="Arial" w:cs="Arial" w:eastAsia="Arial" w:hAnsi="Arial"/>
          <w:sz w:val="18"/>
          <w:szCs w:val="18"/>
          <w:color w:val="auto"/>
        </w:rPr>
      </w:pPr>
      <w:r>
        <w:rPr>
          <w:rFonts w:ascii="Arial" w:cs="Arial" w:eastAsia="Arial" w:hAnsi="Arial"/>
          <w:sz w:val="18"/>
          <w:szCs w:val="18"/>
          <w:color w:val="auto"/>
        </w:rPr>
        <w:t xml:space="preserve">919-4059 or (334) 323-0140, and follow the instructions. The replay passcode is: 62357689. For more information, please access </w:t>
      </w:r>
      <w:r>
        <w:rPr>
          <w:rFonts w:ascii="Arial" w:cs="Arial" w:eastAsia="Arial" w:hAnsi="Arial"/>
          <w:sz w:val="18"/>
          <w:szCs w:val="18"/>
          <w:u w:val="single" w:color="auto"/>
          <w:color w:val="auto"/>
        </w:rPr>
        <w:t>http://www.bladex.com</w:t>
      </w:r>
      <w:r>
        <w:rPr>
          <w:rFonts w:ascii="Arial" w:cs="Arial" w:eastAsia="Arial" w:hAnsi="Arial"/>
          <w:sz w:val="18"/>
          <w:szCs w:val="18"/>
          <w:color w:val="auto"/>
        </w:rPr>
        <w:t xml:space="preserve"> or contact:</w:t>
      </w:r>
    </w:p>
    <w:p>
      <w:pPr>
        <w:spacing w:after="0" w:line="1" w:lineRule="exact"/>
        <w:rPr>
          <w:sz w:val="20"/>
          <w:szCs w:val="20"/>
          <w:color w:val="auto"/>
        </w:rPr>
      </w:pPr>
    </w:p>
    <w:p>
      <w:pPr>
        <w:spacing w:after="0"/>
        <w:rPr>
          <w:sz w:val="20"/>
          <w:szCs w:val="20"/>
          <w:color w:val="auto"/>
        </w:rPr>
      </w:pPr>
      <w:r>
        <w:rPr>
          <w:rFonts w:ascii="Arial" w:cs="Arial" w:eastAsia="Arial" w:hAnsi="Arial"/>
          <w:sz w:val="18"/>
          <w:szCs w:val="18"/>
          <w:color w:val="auto"/>
        </w:rPr>
        <w:t>Mrs. Ana Graciela de Méndez</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Chief Financial Officer</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Tel: +507 210-8563</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 xml:space="preserve">E-mail address: </w:t>
      </w:r>
      <w:r>
        <w:rPr>
          <w:rFonts w:ascii="Arial" w:cs="Arial" w:eastAsia="Arial" w:hAnsi="Arial"/>
          <w:sz w:val="18"/>
          <w:szCs w:val="18"/>
          <w:u w:val="single" w:color="auto"/>
          <w:color w:val="auto"/>
        </w:rPr>
        <w:t>amendez@bladex.com</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1480820</wp:posOffset>
            </wp:positionV>
            <wp:extent cx="7246620" cy="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2449195</wp:posOffset>
            </wp:positionH>
            <wp:positionV relativeFrom="paragraph">
              <wp:posOffset>142875</wp:posOffset>
            </wp:positionV>
            <wp:extent cx="2392680" cy="87503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2392680" cy="875030"/>
                    </a:xfrm>
                    <a:prstGeom prst="rect">
                      <a:avLst/>
                    </a:prstGeom>
                    <a:noFill/>
                  </pic:spPr>
                </pic:pic>
              </a:graphicData>
            </a:graphic>
          </wp:anchor>
        </w:drawing>
      </w:r>
    </w:p>
    <w:sectPr>
      <w:pgSz w:w="11900" w:h="16838" w:orient="portrait"/>
      <w:cols w:equalWidth="0" w:num="1">
        <w:col w:w="11420"/>
      </w:cols>
      <w:pgMar w:left="240" w:top="1440" w:right="2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3D1B58BA"/>
    <w:multiLevelType w:val="hybridMultilevel"/>
    <w:lvl w:ilvl="0">
      <w:lvlJc w:val="left"/>
      <w:lvlText w:val="·"/>
      <w:numFmt w:val="bullet"/>
      <w:start w:val="1"/>
    </w:lvl>
  </w:abstractNum>
  <w:abstractNum w:abstractNumId="1">
    <w:nsid w:val="507ED7AB"/>
    <w:multiLevelType w:val="hybridMultilevel"/>
    <w:lvl w:ilvl="0">
      <w:lvlJc w:val="left"/>
      <w:lvlText w:val="·"/>
      <w:numFmt w:val="bullet"/>
      <w:start w:val="1"/>
    </w:lvl>
  </w:abstractNum>
  <w:abstractNum w:abstractNumId="2">
    <w:nsid w:val="2EB141F2"/>
    <w:multiLevelType w:val="hybridMultilevel"/>
    <w:lvl w:ilvl="0">
      <w:lvlJc w:val="left"/>
      <w:lvlText w:val="·"/>
      <w:numFmt w:val="bullet"/>
      <w:start w:val="1"/>
    </w:lvl>
  </w:abstractNum>
  <w:abstractNum w:abstractNumId="3">
    <w:nsid w:val="41B71EFB"/>
    <w:multiLevelType w:val="hybridMultilevel"/>
    <w:lvl w:ilvl="0">
      <w:lvlJc w:val="left"/>
      <w:lvlText w:val="§"/>
      <w:numFmt w:val="bullet"/>
      <w:start w:val="1"/>
    </w:lvl>
    <w:lvl w:ilvl="1">
      <w:lvlJc w:val="left"/>
      <w:lvlText w:val="%2."/>
      <w:numFmt w:val="lowerRoman"/>
      <w:start w:val="1"/>
    </w:lvl>
  </w:abstractNum>
  <w:abstractNum w:abstractNumId="4">
    <w:nsid w:val="79E2A9E3"/>
    <w:multiLevelType w:val="hybridMultilevel"/>
    <w:lvl w:ilvl="0">
      <w:lvlJc w:val="left"/>
      <w:lvlText w:val="§"/>
      <w:numFmt w:val="bullet"/>
      <w:start w:val="1"/>
    </w:lvl>
    <w:lvl w:ilvl="1">
      <w:lvlJc w:val="left"/>
      <w:lvlText w:val="%2."/>
      <w:numFmt w:val="lowerRoman"/>
      <w:start w:val="2"/>
    </w:lvl>
  </w:abstractNum>
  <w:abstractNum w:abstractNumId="5">
    <w:nsid w:val="7545E146"/>
    <w:multiLevelType w:val="hybridMultilevel"/>
    <w:lvl w:ilvl="0">
      <w:lvlJc w:val="left"/>
      <w:lvlText w:val="§"/>
      <w:numFmt w:val="bullet"/>
      <w:start w:val="1"/>
    </w:lvl>
    <w:lvl w:ilvl="1">
      <w:lvlJc w:val="left"/>
      <w:lvlText w:val="%2."/>
      <w:numFmt w:val="lowerRoman"/>
      <w:start w:val="1"/>
    </w:lvl>
  </w:abstractNum>
  <w:abstractNum w:abstractNumId="6">
    <w:nsid w:val="515F007C"/>
    <w:multiLevelType w:val="hybridMultilevel"/>
    <w:lvl w:ilvl="0">
      <w:lvlJc w:val="left"/>
      <w:lvlText w:val="-"/>
      <w:numFmt w:val="bullet"/>
      <w:start w:val="1"/>
    </w:lvl>
  </w:abstractNum>
  <w:abstractNum w:abstractNumId="7">
    <w:nsid w:val="5BD062C2"/>
    <w:multiLevelType w:val="hybridMultilevel"/>
    <w:lvl w:ilvl="0">
      <w:lvlJc w:val="left"/>
      <w:lvlText w:val="%1)"/>
      <w:numFmt w:val="decimal"/>
      <w:start w:val="1"/>
    </w:lvl>
  </w:abstractNum>
  <w:abstractNum w:abstractNumId="8">
    <w:nsid w:val="12200854"/>
    <w:multiLevelType w:val="hybridMultilevel"/>
    <w:lvl w:ilvl="0">
      <w:lvlJc w:val="left"/>
      <w:lvlText w:val="%1)"/>
      <w:numFmt w:val="decimal"/>
      <w:start w:val="7"/>
    </w:lvl>
  </w:abstractNum>
  <w:abstractNum w:abstractNumId="9">
    <w:nsid w:val="4DB127F8"/>
    <w:multiLevelType w:val="hybridMultilevel"/>
    <w:lvl w:ilvl="0">
      <w:lvlJc w:val="left"/>
      <w:lvlText w:val="(%1)"/>
      <w:numFmt w:val="decimal"/>
      <w:start w:val="877"/>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jpe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2019-11-30T21:50:04Z</dcterms:created>
  <dcterms:modified xsi:type="dcterms:W3CDTF">2019-11-30T21:50:04Z</dcterms:modified>
</cp:coreProperties>
</file>